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360"/>
              <w:left w:type="dxa" w:w="320"/>
              <w:bottom w:type="dxa" w:w="360"/>
              <w:right w:type="dxa" w:w="320"/>
            </w:tcMar>
          </w:tcPr>
          <w:p>
            <w:pPr>
              <w:spacing w:after="2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B6862C"/>
                <w:sz w:val="18"/>
                <w:szCs w:val="18"/>
              </w:rPr>
              <w:t xml:space="preserve">FREE TEMPLATE  ／  No. 08</w:t>
            </w:r>
          </w:p>
          <w:p>
            <w:pPr>
              <w:spacing w:after="1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1A2B4A"/>
                <w:sz w:val="40"/>
                <w:szCs w:val="40"/>
              </w:rPr>
              <w:t xml:space="preserve">成果物定義シート</w:t>
            </w:r>
          </w:p>
          <w:p>
            <w:pPr>
              <w:spacing w:after="240"/>
              <w:jc w:val="center"/>
            </w:pPr>
            <w:r>
              <w:rPr>
                <w:rFonts w:ascii="Yu Gothic" w:cs="Yu Gothic" w:eastAsia="Yu Gothic" w:hAnsi="Yu Gothic"/>
                <w:color w:val="4A5568"/>
                <w:sz w:val="22"/>
                <w:szCs w:val="22"/>
              </w:rPr>
              <w:t xml:space="preserve">〜 請負契約 締結前・締結後の運用整理用 〜</w:t>
            </w:r>
          </w:p>
          <w:p>
            <w:pPr>
              <w:jc w:val="center"/>
            </w:pPr>
            <w:r>
              <w:rPr>
                <w:rFonts w:ascii="Yu Gothic" w:cs="Yu Gothic" w:eastAsia="Yu Gothic" w:hAnsi="Yu Gothic"/>
                <w:color w:val="718096"/>
                <w:sz w:val="18"/>
                <w:szCs w:val="18"/>
              </w:rPr>
              <w:t xml:space="preserve">Legal GPT｜法務実務テンプレート　／　https://legal-gpt.com/</w:t>
            </w:r>
          </w:p>
          <w:p>
            <w:pPr>
              <w:jc w:val="center"/>
            </w:pPr>
            <w:r>
              <w:rPr>
                <w:rFonts w:ascii="Yu Gothic" w:cs="Yu Gothic" w:eastAsia="Yu Gothic" w:hAnsi="Yu Gothic"/>
                <w:color w:val="718096"/>
                <w:sz w:val="18"/>
                <w:szCs w:val="18"/>
              </w:rPr>
              <w:t xml:space="preserve">発行：legal-gpt.com　／　版数：v1.0（2026/05/24）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記入日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記入者（所属）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版数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>v1.0（    年    月    日 更新）</w:t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1. 契約情報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契約名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契約番号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締結日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相手方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相手方住所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相手方担当者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2. 自社の立場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発注者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受注者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その他（                                  ）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社内主管部署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社内担当者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法務担当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3. 成果物の基本情報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成果物名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成果物の概要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成果物の詳細
（業務内容を箇条書きで具体化）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4. 対象範囲・対象外範囲</w:t>
      </w:r>
    </w:p>
    <w:p>
      <w:pPr>
        <w:spacing w:after="60" w:before="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対象範囲（やる範囲）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業務範囲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60" w:before="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対象外範囲（やらない範囲）</w:t>
      </w:r>
    </w:p>
    <w:p>
      <w:pPr>
        <w:spacing w:after="6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※追加作業として別途見積もる対象を明示する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対象外範囲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B6862C" w:sz="18" w:space="8"/>
              <w:bottom w:val="none" w:color="FFFFFF" w:sz="0"/>
              <w:right w:val="none" w:color="FFFFFF" w:sz="0"/>
            </w:tcBorders>
            <w:shd w:fill="F5EFE2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b/>
                <w:bCs/>
                <w:color w:val="B6862C"/>
                <w:sz w:val="18"/>
                <w:szCs w:val="18"/>
              </w:rPr>
              <w:t xml:space="preserve">POINT</w:t>
            </w:r>
          </w:p>
          <w:p>
            <w:r>
              <w:rPr>
                <w:rFonts w:ascii="Yu Gothic" w:cs="Yu Gothic" w:eastAsia="Yu Gothic" w:hAnsi="Yu Gothic"/>
                <w:color w:val="2A3D5F"/>
                <w:sz w:val="20"/>
                <w:szCs w:val="20"/>
              </w:rPr>
              <w:t xml:space="preserve">「対象外範囲」を書面化することが特に重要です。発注者側は「対象範囲」だけ意識しがちですが、対象外範囲を明示することで、追加作業発生時の費用主張の根拠が双方で共有できます。</w:t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5. 仕様書・別紙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仕様書番号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仕様書版数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>v_____（    年    月    日）</w:t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別紙番号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参照する要件定義書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6. 提出形式・数量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提出形式
（例：本番稼働／ソース一式／納品書）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ファイル形式
（例：.docx／.xlsx／.pdf／GitHub）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数量
（例：画面12種類／報告書1冊）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7. 品質基準</w:t>
      </w:r>
    </w:p>
    <w:p>
      <w:pPr>
        <w:spacing w:after="6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品質基準（客観的に評価できる内容で記載）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品質基準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8. 前提条件</w:t>
      </w:r>
    </w:p>
    <w:p>
      <w:pPr>
        <w:spacing w:after="6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発注者側の協力事項・前提条件（達成されないと履行が止まる要素）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前提条件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9. 納品・検収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納品日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納品方法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検収担当者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検収承認権限者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検収期間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>    営業日</w:t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10. 参考資料・版数管理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参考資料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60" w:before="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版数管理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4360"/>
        <w:gridCol w:w="1800"/>
      </w:tblGrid>
      <w:tr>
        <w:trPr>
          <w:tblHeader/>
        </w:trPr>
        <w:tc>
          <w:tcPr>
            <w:tcW w:type="dxa" w:w="14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版数</w:t>
            </w:r>
          </w:p>
        </w:tc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更新日</w:t>
            </w:r>
          </w:p>
        </w:tc>
        <w:tc>
          <w:tcPr>
            <w:tcW w:type="dxa" w:w="43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更新内容</w:t>
            </w:r>
          </w:p>
        </w:tc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更新者</w:t>
            </w:r>
          </w:p>
        </w:tc>
      </w:tr>
      <w:tr>
        <w:tc>
          <w:tcPr>
            <w:tcW w:type="dxa" w:w="14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v1.0</w:t>
            </w:r>
          </w:p>
        </w:tc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43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初版作成</w:t>
            </w:r>
          </w:p>
        </w:tc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v_._</w:t>
            </w:r>
          </w:p>
        </w:tc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43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v_._</w:t>
            </w:r>
          </w:p>
        </w:tc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43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11. 変更履歴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760"/>
        <w:gridCol w:w="2000"/>
        <w:gridCol w:w="1800"/>
      </w:tblGrid>
      <w:tr>
        <w:trPr>
          <w:tblHeader/>
        </w:trPr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発生日</w:t>
            </w:r>
          </w:p>
        </w:tc>
        <w:tc>
          <w:tcPr>
            <w:tcW w:type="dxa" w:w="37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変更内容</w:t>
            </w:r>
          </w:p>
        </w:tc>
        <w:tc>
          <w:tcPr>
            <w:tcW w:type="dxa" w:w="20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影響範囲</w:t>
            </w:r>
          </w:p>
        </w:tc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承認者</w:t>
            </w:r>
          </w:p>
        </w:tc>
      </w:tr>
      <w:tr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37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37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37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12. 確認欄</w:t>
      </w:r>
    </w:p>
    <w:p>
      <w:pPr>
        <w:spacing w:after="60" w:before="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事業部確認欄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確認者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確認日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コメント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60" w:before="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法務確認欄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確認者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確認日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コメント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BFCFE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/>
            </w:pPr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免責文</w:t>
            </w:r>
          </w:p>
          <w:p>
            <w:r>
              <w:rPr>
                <w:rFonts w:ascii="Yu Gothic" w:cs="Yu Gothic" w:eastAsia="Yu Gothic" w:hAnsi="Yu Gothic"/>
                <w:color w:val="4A5568"/>
                <w:sz w:val="16"/>
                <w:szCs w:val="16"/>
              </w:rPr>
              <w:t xml:space="preserve">本シートは、一般的な法務実務の整理を目的とした参考資料であり、個別具体的な法律判断や契約上の助言を行うものではありません。実際の請負契約レビュー、成果物定義、検収条件、追加費用、仕様変更等にあたっては、契約書本文、別紙、仕様書、見積書、変更依頼書、交渉経緯、取引背景、適用法令、社内規程等を確認し、必要に応じて弁護士その他専門家に相談してください。</w:t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6DDE6" w:sz="4" w:space="4"/>
      </w:pBdr>
      <w:jc w:val="center"/>
    </w:pPr>
    <w:r>
      <w:rPr>
        <w:rFonts w:ascii="Yu Gothic" w:cs="Yu Gothic" w:eastAsia="Yu Gothic" w:hAnsi="Yu Gothic"/>
        <w:color w:val="718096"/>
        <w:sz w:val="16"/>
        <w:szCs w:val="16"/>
      </w:rPr>
      <w:t xml:space="preserve">Legal GPT｜法務実務テンプレート　／　v1.0　／　</w:t>
    </w:r>
    <w:r>
      <w:rPr>
        <w:rFonts w:ascii="Yu Gothic" w:cs="Yu Gothic" w:eastAsia="Yu Gothic" w:hAnsi="Yu Gothic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2026-05-24T07:21:21.501Z</dcterms:created>
  <dcterms:modified xsi:type="dcterms:W3CDTF">2026-05-24T07:21:21.502Z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