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  <w:jc w:val="center"/>
      </w:pPr>
      <w:r>
        <w:rPr>
          <w:rFonts w:ascii="Yu Gothic" w:hAnsi="Yu Gothic" w:eastAsia="Yu Gothic" w:cs="Yu Gothic"/>
          <w:b/>
          <w:color w:val="1E3A5F"/>
          <w:sz w:val="44"/>
        </w:rPr>
        <w:t>法務回答メモ</w:t>
      </w:r>
    </w:p>
    <w:p>
      <w:pPr>
        <w:spacing w:after="320"/>
        <w:jc w:val="center"/>
      </w:pPr>
      <w:r>
        <w:rPr>
          <w:rFonts w:ascii="Yu Gothic" w:hAnsi="Yu Gothic" w:eastAsia="Yu Gothic" w:cs="Yu Gothic"/>
          <w:b w:val="0"/>
          <w:color w:val="1F2937"/>
          <w:sz w:val="22"/>
        </w:rPr>
        <w:t>― 前提事実・判断理由・留保条件を残す ―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項目</w:t>
            </w:r>
          </w:p>
        </w:tc>
        <w:tc>
          <w:tcPr>
            <w:tcW w:type="dxa" w:w="6803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相談受付番号</w:t>
            </w:r>
          </w:p>
        </w:tc>
        <w:tc>
          <w:tcPr>
            <w:tcW w:type="dxa" w:w="6803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例：2026-Q-0123</w:t>
            </w:r>
          </w:p>
        </w:tc>
      </w:tr>
      <w:tr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回答日</w:t>
            </w:r>
          </w:p>
        </w:tc>
        <w:tc>
          <w:tcPr>
            <w:tcW w:type="dxa" w:w="6803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例：2026/05/25</w:t>
            </w:r>
          </w:p>
        </w:tc>
      </w:tr>
      <w:tr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回答担当者</w:t>
            </w:r>
          </w:p>
        </w:tc>
        <w:tc>
          <w:tcPr>
            <w:tcW w:type="dxa" w:w="6803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例：法務部 鈴木一郎</w:t>
            </w:r>
          </w:p>
        </w:tc>
      </w:tr>
      <w:tr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上長確認</w:t>
            </w:r>
          </w:p>
        </w:tc>
        <w:tc>
          <w:tcPr>
            <w:tcW w:type="dxa" w:w="6803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□確認済　□確認中　□不要</w:t>
            </w:r>
          </w:p>
        </w:tc>
      </w:tr>
      <w:tr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最終ステータス</w:t>
            </w:r>
          </w:p>
        </w:tc>
        <w:tc>
          <w:tcPr>
            <w:tcW w:type="dxa" w:w="6803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□回答済　□追加確認待ち　□保留　□外部弁護士相談中</w:t>
            </w:r>
          </w:p>
        </w:tc>
      </w:tr>
    </w:tbl>
    <w:p>
      <w:pPr>
        <w:spacing w:before="0" w:after="16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1. 相談基本情報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項目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入力欄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相談部署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［例：営業本部 第2部］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相談者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［例：山田太郎 課長］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相談タイトル（一文要約）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［例：SI業務委託契約の再委託可否について］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相談類型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□契約解釈　□契約レビュー　□個人情報　□秘密保持　□クレーム・紛争</w:t>
              <w:br/>
              <w:t>□労務・ハラスメント　□広告表示　□法改正対応　□AI利用・情報管理</w:t>
              <w:br/>
              <w:t>□稟議・承認　□会社法・コーポレート　□その他（　　　）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相談の優先度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□高　□中　□低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回答期限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［　　　　/　　　/　　　　］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2. 相談内容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2-1. 相談趣旨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［相談者の質問内容を、相談者の言葉を活かしつつ箇条書きで整理してください。複数の論点が含まれる場合は、論点ごとに分けて記載してください。］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2-2. 相談の背景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［なぜこの相談が発生したか、背景となる事業上の事情や交渉経緯を簡潔に記載してください。］</w:t>
      </w: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3. 前提事実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3-1. 相談者から聞いた事実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［箇条書きで記載。例：・再委託先は国内法人A社　・再委託範囲は保守業務に限定　・再委託期間は契約満了まで］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3-2. 確認済の事実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［自社で資料・関係者ヒアリング等により確認した事実を記載。例：・既存契約書第12条第2項に「相手方の事前承諾を得て再委託可」と規定　・A社のNDAは未締結］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3-3. 未確認の事実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［結論に影響しうるが、現時点で確認できていない事実を必ず記載。例：・A社が個人情報を取り扱う具体的範囲　・A社の情報管理体制］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3-4. 相手方・関係者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［例：顧客（株式会社B社）、再委託先（A社）］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3-5. 対象期間・適用地域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［例：2026/06/01〜2027/05/31、国内のみ］</w:t>
      </w: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4. 添付資料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［受領した資料・確認した資料を一覧化。版数も記載。］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No.</w:t>
            </w:r>
          </w:p>
        </w:tc>
        <w:tc>
          <w:tcPr>
            <w:tcW w:type="dxa" w:w="45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資料名</w:t>
            </w:r>
          </w:p>
        </w:tc>
        <w:tc>
          <w:tcPr>
            <w:tcW w:type="dxa" w:w="215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版数・日付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受領元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1</w:t>
            </w:r>
          </w:p>
        </w:tc>
        <w:tc>
          <w:tcPr>
            <w:tcW w:type="dxa" w:w="45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業務委託契約書</w:t>
            </w:r>
          </w:p>
        </w:tc>
        <w:tc>
          <w:tcPr>
            <w:tcW w:type="dxa" w:w="215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2025/04/01締結版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営業本部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</w:t>
            </w:r>
          </w:p>
        </w:tc>
        <w:tc>
          <w:tcPr>
            <w:tcW w:type="dxa" w:w="45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案件概要シート</w:t>
            </w:r>
          </w:p>
        </w:tc>
        <w:tc>
          <w:tcPr>
            <w:tcW w:type="dxa" w:w="215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2026/05/20版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営業本部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3</w:t>
            </w:r>
          </w:p>
        </w:tc>
        <w:tc>
          <w:tcPr>
            <w:tcW w:type="dxa" w:w="45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215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5. 参照した契約書・規程・資料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種別</w:t>
            </w:r>
          </w:p>
        </w:tc>
        <w:tc>
          <w:tcPr>
            <w:tcW w:type="dxa" w:w="396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名称</w:t>
            </w:r>
          </w:p>
        </w:tc>
        <w:tc>
          <w:tcPr>
            <w:tcW w:type="dxa" w:w="368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該当条項・該当箇所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契約書</w:t>
            </w:r>
          </w:p>
        </w:tc>
        <w:tc>
          <w:tcPr>
            <w:tcW w:type="dxa" w:w="396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業務委託契約書</w:t>
            </w:r>
          </w:p>
        </w:tc>
        <w:tc>
          <w:tcPr>
            <w:tcW w:type="dxa" w:w="368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第12条第2項（再委託）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社内規程</w:t>
            </w:r>
          </w:p>
        </w:tc>
        <w:tc>
          <w:tcPr>
            <w:tcW w:type="dxa" w:w="396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委託先管理規程</w:t>
            </w:r>
          </w:p>
        </w:tc>
        <w:tc>
          <w:tcPr>
            <w:tcW w:type="dxa" w:w="368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第5条（事前承認）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法令</w:t>
            </w:r>
          </w:p>
        </w:tc>
        <w:tc>
          <w:tcPr>
            <w:tcW w:type="dxa" w:w="396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368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条　　項）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ガイドライン</w:t>
            </w:r>
          </w:p>
        </w:tc>
        <w:tc>
          <w:tcPr>
            <w:tcW w:type="dxa" w:w="396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368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実務書</w:t>
            </w:r>
          </w:p>
        </w:tc>
        <w:tc>
          <w:tcPr>
            <w:tcW w:type="dxa" w:w="396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368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頁）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AI出力</w:t>
            </w:r>
          </w:p>
        </w:tc>
        <w:tc>
          <w:tcPr>
            <w:tcW w:type="dxa" w:w="396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（プロンプト概要）</w:t>
            </w:r>
          </w:p>
        </w:tc>
        <w:tc>
          <w:tcPr>
            <w:tcW w:type="dxa" w:w="368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※必ず一次資料で照合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6. 関連する過去相談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過去相談番号</w:t>
            </w:r>
          </w:p>
        </w:tc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相談タイトル</w:t>
            </w:r>
          </w:p>
        </w:tc>
        <w:tc>
          <w:tcPr>
            <w:tcW w:type="dxa" w:w="311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前提事実の異同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結論の異同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2025-Q-0078</w:t>
            </w:r>
          </w:p>
        </w:tc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保守業務の再委託</w:t>
            </w:r>
          </w:p>
        </w:tc>
        <w:tc>
          <w:tcPr>
            <w:tcW w:type="dxa" w:w="311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国内法人へ再委託である点は同じ／個人情報を扱う点が異なる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結論は同じ（条件付き可）</w:t>
            </w:r>
          </w:p>
        </w:tc>
      </w:tr>
      <w:tr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255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311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7. 結論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［一文で記載。Yes/No か 条件付きかを明示。］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0F172A"/>
          <w:sz w:val="21"/>
        </w:rPr>
        <w:t>例：本件は、業務委託契約書第12条第2項に基づき、相手方（顧客）の事前承諾を得れば再委託可能と整理できます。</w:t>
      </w: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8. 判断理由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8-1. 契約条項上の解釈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例：契約書第12条第2項は「相手方の事前承諾を得て再委託することができる」と規定しており、事前承諾型を採用。承諾なき再委託は契約違反となりうる。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8-2. 社内規程上の取扱い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例：委託先管理規程第5条により、事前審査と書面締結が必要。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8-3. 過去事例との関係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例：過去相談2025-Q-0078と前提が類似するが、個人情報取扱いの点で異なるため、本件は別途委託先管理を要する。</w:t>
      </w:r>
    </w:p>
    <w:p>
      <w:pPr>
        <w:spacing w:before="160" w:after="40"/>
      </w:pPr>
      <w:r>
        <w:rPr>
          <w:rFonts w:ascii="Yu Gothic" w:hAnsi="Yu Gothic" w:eastAsia="Yu Gothic" w:cs="Yu Gothic"/>
          <w:b/>
          <w:color w:val="1F2937"/>
          <w:sz w:val="22"/>
        </w:rPr>
        <w:t>8-4. 反対解釈の検討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例：「事前承諾」が「個別案件ごとの承諾」を意味するか「包括承諾」で足りるかは条項上明確ではないが、契約全体の趣旨から個別承諾を要すると解するのが安全。</w:t>
      </w: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9. 法的根拠・実務根拠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種別</w:t>
            </w:r>
          </w:p>
        </w:tc>
        <w:tc>
          <w:tcPr>
            <w:tcW w:type="dxa" w:w="737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条文</w:t>
            </w:r>
          </w:p>
        </w:tc>
        <w:tc>
          <w:tcPr>
            <w:tcW w:type="dxa" w:w="737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民法第656条（準委任）、民法第644条（受任者の善管注意義務）</w:t>
            </w:r>
          </w:p>
        </w:tc>
      </w:tr>
      <w:tr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関連法令</w:t>
            </w:r>
          </w:p>
        </w:tc>
        <w:tc>
          <w:tcPr>
            <w:tcW w:type="dxa" w:w="737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個人情報保護法第27条（第三者提供） ※該当範囲のみ</w:t>
            </w:r>
          </w:p>
        </w:tc>
      </w:tr>
      <w:tr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ガイドライン</w:t>
            </w:r>
          </w:p>
        </w:tc>
        <w:tc>
          <w:tcPr>
            <w:tcW w:type="dxa" w:w="737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個人情報保護委員会「個人情報の保護に関する法律についてのガイドライン」</w:t>
            </w:r>
          </w:p>
        </w:tc>
      </w:tr>
      <w:tr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社内規程</w:t>
            </w:r>
          </w:p>
        </w:tc>
        <w:tc>
          <w:tcPr>
            <w:tcW w:type="dxa" w:w="737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委託先管理規程、情報セキュリティ規程</w:t>
            </w:r>
          </w:p>
        </w:tc>
      </w:tr>
      <w:tr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業界慣行</w:t>
            </w:r>
          </w:p>
        </w:tc>
        <w:tc>
          <w:tcPr>
            <w:tcW w:type="dxa" w:w="737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［該当する場合のみ記載／出典明示］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10. 留保条件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［結論が変わりうる条件を必ず記載。］</w:t>
      </w:r>
    </w:p>
    <w:p>
      <w:pPr>
        <w:spacing w:before="0" w:after="20" w:lineRule="auto" w:line="336"/>
      </w:pPr>
      <w:r>
        <w:rPr>
          <w:rFonts w:ascii="Yu Gothic" w:hAnsi="Yu Gothic" w:eastAsia="Yu Gothic" w:cs="Yu Gothic"/>
          <w:b w:val="0"/>
          <w:color w:val="1F2937"/>
          <w:sz w:val="20"/>
        </w:rPr>
        <w:t>・再委託先が個人情報を取り扱う場合は、別途委託先管理（個人情報保護法に基づく監督義務）の検討が必要。</w:t>
      </w:r>
    </w:p>
    <w:p>
      <w:pPr>
        <w:spacing w:before="0" w:after="20" w:lineRule="auto" w:line="336"/>
      </w:pPr>
      <w:r>
        <w:rPr>
          <w:rFonts w:ascii="Yu Gothic" w:hAnsi="Yu Gothic" w:eastAsia="Yu Gothic" w:cs="Yu Gothic"/>
          <w:b w:val="0"/>
          <w:color w:val="1F2937"/>
          <w:sz w:val="20"/>
        </w:rPr>
        <w:t>・再委託範囲が拡大する場合は、再度法務確認が必要。</w:t>
      </w:r>
    </w:p>
    <w:p>
      <w:pPr>
        <w:spacing w:before="0" w:after="20" w:lineRule="auto" w:line="336"/>
      </w:pPr>
      <w:r>
        <w:rPr>
          <w:rFonts w:ascii="Yu Gothic" w:hAnsi="Yu Gothic" w:eastAsia="Yu Gothic" w:cs="Yu Gothic"/>
          <w:b w:val="0"/>
          <w:color w:val="1F2937"/>
          <w:sz w:val="20"/>
        </w:rPr>
        <w:t>・顧客（株式会社B社）の承諾文言が「包括承諾」となっている場合は、本回答の前提と異なるため、再度確認が必要。</w:t>
      </w:r>
    </w:p>
    <w:p>
      <w:pPr>
        <w:spacing w:before="0" w:after="20" w:lineRule="auto" w:line="336"/>
      </w:pPr>
      <w:r>
        <w:rPr>
          <w:rFonts w:ascii="Yu Gothic" w:hAnsi="Yu Gothic" w:eastAsia="Yu Gothic" w:cs="Yu Gothic"/>
          <w:b w:val="0"/>
          <w:color w:val="1F2937"/>
          <w:sz w:val="20"/>
        </w:rPr>
        <w:t>・再委託先A社のNDA・情報セキュリティ体制が確認できていないため、別途確認の上で最終判断。</w:t>
      </w: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11. 再確認事項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No.</w:t>
            </w:r>
          </w:p>
        </w:tc>
        <w:tc>
          <w:tcPr>
            <w:tcW w:type="dxa" w:w="51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再確認事項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担当</w:t>
            </w:r>
          </w:p>
        </w:tc>
        <w:tc>
          <w:tcPr>
            <w:tcW w:type="dxa" w:w="187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期限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1</w:t>
            </w:r>
          </w:p>
        </w:tc>
        <w:tc>
          <w:tcPr>
            <w:tcW w:type="dxa" w:w="51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A社の個人情報取扱範囲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営業本部</w:t>
            </w:r>
          </w:p>
        </w:tc>
        <w:tc>
          <w:tcPr>
            <w:tcW w:type="dxa" w:w="187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2026/06/05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</w:t>
            </w:r>
          </w:p>
        </w:tc>
        <w:tc>
          <w:tcPr>
            <w:tcW w:type="dxa" w:w="51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A社のNDA締結要否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法務</w:t>
            </w:r>
          </w:p>
        </w:tc>
        <w:tc>
          <w:tcPr>
            <w:tcW w:type="dxa" w:w="187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2026/06/05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3</w:t>
            </w:r>
          </w:p>
        </w:tc>
        <w:tc>
          <w:tcPr>
            <w:tcW w:type="dxa" w:w="5102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顧客承諾の取得方法（書面/メール）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営業本部</w:t>
            </w:r>
          </w:p>
        </w:tc>
        <w:tc>
          <w:tcPr>
            <w:tcW w:type="dxa" w:w="187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2026/06/10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12. 事業部への依頼事項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No.</w:t>
            </w:r>
          </w:p>
        </w:tc>
        <w:tc>
          <w:tcPr>
            <w:tcW w:type="dxa" w:w="498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依頼内容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期限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完了報告ルート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1</w:t>
            </w:r>
          </w:p>
        </w:tc>
        <w:tc>
          <w:tcPr>
            <w:tcW w:type="dxa" w:w="498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A社からの個人情報取扱範囲ヒアリング結果の共有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2026/06/05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法務メール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</w:t>
            </w:r>
          </w:p>
        </w:tc>
        <w:tc>
          <w:tcPr>
            <w:tcW w:type="dxa" w:w="498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顧客向け再委託承諾依頼文ドラフトの提示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2026/06/08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法務メール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13. 相手方への回答要否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項目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相手方への回答要否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□要　□不要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回答形式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□書面　□メール　□口頭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回答案文（社外提出版）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［別添 or 別シート］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14. 社外提出予定の有無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項目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社外提出予定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□あり　□なし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提出先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提出予定日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/　　/　　）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表現・トーンの調整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□調整済　□未調整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15. 個人情報・秘密情報の有無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項目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個人情報の含有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□あり　□なし　□要確認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秘密情報の含有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□あり　□なし　□要確認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未公表情報の含有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□あり　□なし　□要確認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AI入力時のマスキング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□実施済　□不要　□未実施</w:t>
            </w:r>
          </w:p>
        </w:tc>
      </w:tr>
      <w:tr>
        <w:tc>
          <w:tcPr>
            <w:tcW w:type="dxa" w:w="2835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社内保管区分</w:t>
            </w:r>
          </w:p>
        </w:tc>
        <w:tc>
          <w:tcPr>
            <w:tcW w:type="dxa" w:w="652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□一般　□機密　□極秘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16. 回答担当者・上長確認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項目</w:t>
            </w:r>
          </w:p>
        </w:tc>
        <w:tc>
          <w:tcPr>
            <w:tcW w:type="dxa" w:w="7087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内容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回答担当者</w:t>
            </w:r>
          </w:p>
        </w:tc>
        <w:tc>
          <w:tcPr>
            <w:tcW w:type="dxa" w:w="7087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法務部 鈴木一郎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上長確認の要否</w:t>
            </w:r>
          </w:p>
        </w:tc>
        <w:tc>
          <w:tcPr>
            <w:tcW w:type="dxa" w:w="7087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□要　□不要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上長確認者</w:t>
            </w:r>
          </w:p>
        </w:tc>
        <w:tc>
          <w:tcPr>
            <w:tcW w:type="dxa" w:w="7087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上長確認日</w:t>
            </w:r>
          </w:p>
        </w:tc>
        <w:tc>
          <w:tcPr>
            <w:tcW w:type="dxa" w:w="7087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/　　/　　）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上長コメント</w:t>
            </w:r>
          </w:p>
        </w:tc>
        <w:tc>
          <w:tcPr>
            <w:tcW w:type="dxa" w:w="7087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（　　　　）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17. 最終ステータス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37"/>
        <w:gridCol w:w="3137"/>
        <w:gridCol w:w="3137"/>
      </w:tblGrid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ステータス</w:t>
            </w:r>
          </w:p>
        </w:tc>
        <w:tc>
          <w:tcPr>
            <w:tcW w:type="dxa" w:w="85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該当</w:t>
            </w:r>
          </w:p>
        </w:tc>
        <w:tc>
          <w:tcPr>
            <w:tcW w:type="dxa" w:w="623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補足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回答済（完了）</w:t>
            </w:r>
          </w:p>
        </w:tc>
        <w:tc>
          <w:tcPr>
            <w:tcW w:type="dxa" w:w="85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</w:t>
            </w:r>
          </w:p>
        </w:tc>
        <w:tc>
          <w:tcPr>
            <w:tcW w:type="dxa" w:w="623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追加確認待ち</w:t>
            </w:r>
          </w:p>
        </w:tc>
        <w:tc>
          <w:tcPr>
            <w:tcW w:type="dxa" w:w="85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</w:t>
            </w:r>
          </w:p>
        </w:tc>
        <w:tc>
          <w:tcPr>
            <w:tcW w:type="dxa" w:w="623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確認期限：（　　/　　/　　）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保留</w:t>
            </w:r>
          </w:p>
        </w:tc>
        <w:tc>
          <w:tcPr>
            <w:tcW w:type="dxa" w:w="85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</w:t>
            </w:r>
          </w:p>
        </w:tc>
        <w:tc>
          <w:tcPr>
            <w:tcW w:type="dxa" w:w="623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保留理由：（　　　　）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外部弁護士相談中</w:t>
            </w:r>
          </w:p>
        </w:tc>
        <w:tc>
          <w:tcPr>
            <w:tcW w:type="dxa" w:w="85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</w:t>
            </w:r>
          </w:p>
        </w:tc>
        <w:tc>
          <w:tcPr>
            <w:tcW w:type="dxa" w:w="623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相談日：（　　/　　/　　）</w:t>
            </w:r>
          </w:p>
        </w:tc>
      </w:tr>
      <w:tr>
        <w:tc>
          <w:tcPr>
            <w:tcW w:type="dxa" w:w="2268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クローズ（不対応）</w:t>
            </w:r>
          </w:p>
        </w:tc>
        <w:tc>
          <w:tcPr>
            <w:tcW w:type="dxa" w:w="85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□</w:t>
            </w:r>
          </w:p>
        </w:tc>
        <w:tc>
          <w:tcPr>
            <w:tcW w:type="dxa" w:w="6236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クローズ理由：（　　　　）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18. 次回対応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353"/>
        <w:gridCol w:w="2353"/>
        <w:gridCol w:w="2353"/>
        <w:gridCol w:w="2353"/>
      </w:tblGrid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No.</w:t>
            </w:r>
          </w:p>
        </w:tc>
        <w:tc>
          <w:tcPr>
            <w:tcW w:type="dxa" w:w="498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アクション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期限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1E3A5F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/>
                <w:color w:val="FFFFFF"/>
                <w:sz w:val="19"/>
              </w:rPr>
              <w:t>担当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1</w:t>
            </w:r>
          </w:p>
        </w:tc>
        <w:tc>
          <w:tcPr>
            <w:tcW w:type="dxa" w:w="498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A社個人情報取扱範囲ヒアリング結果を受領後、留保条件部分を再判断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2026/06/05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法務 鈴木</w:t>
            </w:r>
          </w:p>
        </w:tc>
      </w:tr>
      <w:tr>
        <w:tc>
          <w:tcPr>
            <w:tcW w:type="dxa" w:w="680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</w:t>
            </w:r>
          </w:p>
        </w:tc>
        <w:tc>
          <w:tcPr>
            <w:tcW w:type="dxa" w:w="4989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顧客承諾取得後、ステータスを「完了」に更新</w:t>
            </w:r>
          </w:p>
        </w:tc>
        <w:tc>
          <w:tcPr>
            <w:tcW w:type="dxa" w:w="1701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2026/06/15</w:t>
            </w:r>
          </w:p>
        </w:tc>
        <w:tc>
          <w:tcPr>
            <w:tcW w:type="dxa" w:w="1984"/>
            <w:vAlign w:val="top"/>
            <w:tcBorders>
              <w:top w:val="single" w:sz="4" w:space="0" w:color="CBD5E1"/>
              <w:left w:val="single" w:sz="4" w:space="0" w:color="CBD5E1"/>
              <w:bottom w:val="single" w:sz="4" w:space="0" w:color="CBD5E1"/>
              <w:right w:val="single" w:sz="4" w:space="0" w:color="CBD5E1"/>
            </w:tcBorders>
            <w:shd w:val="clear" w:color="auto" w:fill="F8FAFC"/>
          </w:tcPr>
          <w:p>
            <w:pPr>
              <w:spacing w:before="20" w:after="20" w:lineRule="auto" w:line="312"/>
            </w:pPr>
            <w:r/>
            <w:r>
              <w:rPr>
                <w:rFonts w:ascii="Yu Gothic" w:hAnsi="Yu Gothic" w:eastAsia="Yu Gothic" w:cs="Yu Gothic"/>
                <w:b w:val="0"/>
                <w:color w:val="0F172A"/>
                <w:sz w:val="20"/>
              </w:rPr>
              <w:t>法務 鈴木</w:t>
            </w:r>
          </w:p>
        </w:tc>
      </w:tr>
    </w:tbl>
    <w:p>
      <w:pPr>
        <w:spacing w:before="0" w:after="120" w:lineRule="auto" w:line="336"/>
      </w:pPr>
    </w:p>
    <w:p>
      <w:pPr>
        <w:spacing w:before="280" w:after="160"/>
        <w:shd w:val="clear" w:color="auto" w:fill="1E3A5F"/>
        <w:ind w:left="120" w:right="120"/>
        <w:pBdr>
          <w:top w:val="single" w:sz="4" w:space="4" w:color="1E3A5F"/>
          <w:bottom w:val="single" w:sz="4" w:space="4" w:color="1E3A5F"/>
          <w:left w:val="single" w:sz="4" w:space="4" w:color="1E3A5F"/>
          <w:right w:val="single" w:sz="4" w:space="4" w:color="1E3A5F"/>
        </w:pBdr>
      </w:pPr>
      <w:r>
        <w:rPr>
          <w:rFonts w:ascii="Yu Gothic" w:hAnsi="Yu Gothic" w:eastAsia="Yu Gothic" w:cs="Yu Gothic"/>
          <w:b/>
          <w:color w:val="FFFFFF"/>
          <w:sz w:val="26"/>
        </w:rPr>
        <w:t>19. 最終メモ（自由記述欄）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［後日、本件を見直したときに役立つ気付き、引継ぎ事項、社内共有メモなどを自由記載。］</w:t>
      </w:r>
    </w:p>
    <w:p>
      <w:pPr>
        <w:spacing w:before="0" w:after="400" w:lineRule="auto" w:line="336"/>
      </w:pPr>
    </w:p>
    <w:p>
      <w:pPr>
        <w:spacing w:before="200" w:after="80"/>
        <w:pBdr>
          <w:bottom w:val="single" w:sz="6" w:space="1" w:color="E2E8F0"/>
        </w:pBdr>
      </w:pPr>
      <w:r>
        <w:rPr>
          <w:rFonts w:ascii="Yu Gothic" w:hAnsi="Yu Gothic" w:eastAsia="Yu Gothic" w:cs="Yu Gothic"/>
          <w:b/>
          <w:color w:val="1E3A5F"/>
          <w:sz w:val="24"/>
        </w:rPr>
        <w:t>検索用キーワード／タグ</w:t>
      </w:r>
    </w:p>
    <w:p>
      <w:pPr>
        <w:spacing w:before="0" w:after="80" w:lineRule="auto" w:line="336"/>
      </w:pPr>
      <w:r>
        <w:rPr>
          <w:rFonts w:ascii="Yu Gothic" w:hAnsi="Yu Gothic" w:eastAsia="Yu Gothic" w:cs="Yu Gothic"/>
          <w:b w:val="0"/>
          <w:color w:val="64748B"/>
          <w:sz w:val="20"/>
        </w:rPr>
        <w:t>［例：再委託、業務委託契約、第12条、保守業務、A社、B社、個人情報、委託先管理］</w:t>
      </w:r>
    </w:p>
    <w:p>
      <w:pPr>
        <w:spacing w:before="200" w:after="80"/>
        <w:pBdr>
          <w:bottom w:val="single" w:sz="6" w:space="1" w:color="E2E8F0"/>
        </w:pBdr>
      </w:pPr>
      <w:r>
        <w:rPr>
          <w:rFonts w:ascii="Yu Gothic" w:hAnsi="Yu Gothic" w:eastAsia="Yu Gothic" w:cs="Yu Gothic"/>
          <w:b/>
          <w:color w:val="1E3A5F"/>
          <w:sz w:val="24"/>
        </w:rPr>
        <w:t>免責事項</w:t>
      </w:r>
    </w:p>
    <w:p>
      <w:pPr>
        <w:spacing w:before="240" w:after="80"/>
        <w:shd w:val="clear" w:color="auto" w:fill="F1F5F9"/>
        <w:ind w:left="120" w:right="120"/>
      </w:pPr>
      <w:r>
        <w:rPr>
          <w:rFonts w:ascii="Yu Gothic" w:hAnsi="Yu Gothic" w:eastAsia="Yu Gothic" w:cs="Yu Gothic"/>
          <w:b w:val="0"/>
          <w:color w:val="64748B"/>
          <w:sz w:val="18"/>
        </w:rPr>
        <w:t>本テンプレートは、一般的な法務実務の整理を目的とした参考資料であり、個別具体的な法律判断や契約上の助言を行うものではありません。実際の法務相談対応、契約レビュー、個人情報対応、労務・ハラスメント対応、紛争対応、社内承認、相手方への回答にあたっては、相談内容、前提事実、関連資料、交渉経緯、適用法令、社内規程等を確認し、必要に応じて弁護士その他専門家に相談してください。</w:t>
      </w:r>
    </w:p>
    <w:p>
      <w:pPr>
        <w:spacing w:before="160" w:after="80" w:lineRule="auto" w:line="336"/>
        <w:jc w:val="center"/>
      </w:pPr>
      <w:r>
        <w:rPr>
          <w:rFonts w:ascii="Yu Gothic" w:hAnsi="Yu Gothic" w:eastAsia="Yu Gothic" w:cs="Yu Gothic"/>
          <w:b w:val="0"/>
          <w:color w:val="64748B"/>
          <w:sz w:val="18"/>
        </w:rPr>
        <w:t>発行：Legal GPT（https://legal-gpt.com）</w:t>
      </w:r>
    </w:p>
    <w:sectPr w:rsidR="00FC693F" w:rsidRPr="0006063C" w:rsidSect="00034616">
      <w:pgSz w:w="11906" w:h="16838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 w:cs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