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line="283" w:lineRule="auto"/>
      </w:pPr>
      <w:r>
        <w:rPr>
          <w:rFonts w:ascii="游ゴシック" w:hAnsi="游ゴシック" w:eastAsia="游ゴシック" w:cs="游ゴシック"/>
          <w:b/>
          <w:color w:val="B58A3A"/>
          <w:sz w:val="19"/>
        </w:rPr>
        <w:t>第1回 コンプライアンス基礎研修　｜　配布資料</w:t>
      </w:r>
    </w:p>
    <w:p>
      <w:pPr>
        <w:keepNext/>
        <w:keepLines/>
        <w:spacing w:before="0" w:after="40" w:line="269" w:lineRule="auto"/>
      </w:pPr>
      <w:r>
        <w:rPr>
          <w:rFonts w:ascii="游ゴシック" w:hAnsi="游ゴシック" w:eastAsia="游ゴシック" w:cs="游ゴシック"/>
          <w:b/>
          <w:color w:val="16314F"/>
          <w:sz w:val="36"/>
        </w:rPr>
        <w:t>見つけたときの初動対応 ハンドブック</w:t>
      </w:r>
    </w:p>
    <w:p>
      <w:pPr>
        <w:spacing w:before="0" w:after="120" w:line="283" w:lineRule="auto"/>
      </w:pPr>
      <w:r>
        <w:rPr>
          <w:rFonts w:ascii="游ゴシック" w:hAnsi="游ゴシック" w:eastAsia="游ゴシック" w:cs="游ゴシック"/>
          <w:b w:val="0"/>
          <w:color w:val="5B6670"/>
          <w:sz w:val="21"/>
        </w:rPr>
        <w:t>違反・事故・不正に「気づいた」とき、迷わないための1枚</w:t>
      </w:r>
    </w:p>
    <w:p>
      <w:pPr>
        <w:pBdr>
          <w:bottom w:val="single" w:sz="12" w:space="1" w:color="B58A3A"/>
        </w:pBdr>
        <w:spacing w:after="160" w:before="0"/>
      </w:pPr>
    </w:p>
    <w:p>
      <w:pPr>
        <w:spacing w:before="0" w:after="120" w:line="283" w:lineRule="auto"/>
      </w:pPr>
      <w:r>
        <w:rPr>
          <w:rFonts w:ascii="游ゴシック" w:hAnsi="游ゴシック" w:eastAsia="游ゴシック" w:cs="游ゴシック"/>
          <w:b w:val="0"/>
          <w:color w:val="263238"/>
          <w:sz w:val="21"/>
        </w:rPr>
        <w:t>このハンドブックは、研修スライドの要点をまとめた手元用の資料です。「何かおかしい」と気づいたとき、まずこの順番で考えてください。なお、違法かどうかを最終的に判断するのは皆さんの役割ではありません。「気づいたことを、適切な相手に伝える」ことが出発点です。</w:t>
      </w:r>
    </w:p>
    <w:p>
      <w:pPr>
        <w:keepNext/>
        <w:keepLines/>
        <w:spacing w:before="200" w:after="80" w:line="269" w:lineRule="auto"/>
      </w:pPr>
      <w:r>
        <w:rPr>
          <w:rFonts w:ascii="游ゴシック" w:hAnsi="游ゴシック" w:eastAsia="游ゴシック" w:cs="游ゴシック"/>
          <w:b/>
          <w:color w:val="16314F"/>
          <w:sz w:val="28"/>
        </w:rPr>
        <w:t>1　まず、この順番で動く（初動フロー）</w:t>
      </w:r>
    </w:p>
    <w:p>
      <w:pPr>
        <w:pBdr>
          <w:bottom w:val="single" w:sz="6" w:space="1" w:color="D7DDE3"/>
        </w:pBdr>
        <w:spacing w:after="120" w:before="0"/>
      </w:pPr>
    </w:p>
    <w:tbl>
      <w:tblPr>
        <w:tblW w:type="dxa" w:w="9637"/>
        <w:jc w:val="center"/>
        <w:tblBorders>
          <w:top w:val="none"/>
          <w:start w:val="none"/>
          <w:bottom w:val="none"/>
          <w:end w:val="none"/>
          <w:insideH w:val="none"/>
          <w:insideV w:val="none"/>
        </w:tblBorders>
        <w:tblLayout w:type="fixed"/>
        <w:tblLook w:firstColumn="1" w:firstRow="1" w:lastColumn="0" w:lastRow="0" w:noHBand="0" w:noVBand="1" w:val="04A0"/>
      </w:tblPr>
      <w:tblGrid>
        <w:gridCol w:w="9638"/>
      </w:tblGrid>
      <w:tr>
        <w:tc>
          <w:tcPr>
            <w:tcW w:type="dxa" w:w="9637"/>
            <w:tcBorders>
              <w:top w:val="single" w:sz="4" w:space="0" w:color="D7DDE3"/>
              <w:start w:val="single" w:sz="30" w:space="0" w:color="B42318"/>
              <w:bottom w:val="single" w:sz="4" w:space="0" w:color="D7DDE3"/>
              <w:end w:val="single" w:sz="4" w:space="0" w:color="D7DDE3"/>
            </w:tcBorders>
            <w:shd w:val="clear" w:color="auto" w:fill="F7E9E7"/>
            <w:tcMar>
              <w:top w:w="90" w:type="dxa"/>
              <w:start w:w="150" w:type="dxa"/>
              <w:bottom w:w="90" w:type="dxa"/>
              <w:end w:w="150" w:type="dxa"/>
            </w:tcMar>
          </w:tcPr>
          <w:p>
            <w:pPr>
              <w:spacing w:after="40" w:before="0"/>
            </w:pPr>
            <w:r>
              <w:rPr>
                <w:rFonts w:ascii="游ゴシック" w:hAnsi="游ゴシック" w:eastAsia="游ゴシック" w:cs="游ゴシック"/>
                <w:b/>
                <w:color w:val="B42318"/>
                <w:sz w:val="21"/>
              </w:rPr>
              <w:t>STEP 0　安全ゲート ── 人の安全が関わる場合は、ここが最優先</w:t>
            </w:r>
          </w:p>
          <w:p>
            <w:pPr>
              <w:spacing w:after="40" w:before="0" w:line="278" w:lineRule="auto"/>
            </w:pPr>
            <w:r>
              <w:rPr>
                <w:rFonts w:ascii="游ゴシック" w:hAnsi="游ゴシック" w:eastAsia="游ゴシック" w:cs="游ゴシック"/>
                <w:b w:val="0"/>
                <w:color w:val="263238"/>
                <w:sz w:val="20"/>
              </w:rPr>
              <w:t>火災・けが・有害物質の漏れなど、生命や身体に危険が及ぶおそれがあるときは、報告ルートを考える前に、まず避難・救助・119番などの安全確保を行ってください。</w:t>
            </w:r>
          </w:p>
          <w:p>
            <w:pPr>
              <w:spacing w:after="40" w:before="0" w:line="278" w:lineRule="auto"/>
              <w:ind w:left="283" w:hanging="283"/>
            </w:pPr>
            <w:r>
              <w:rPr>
                <w:rFonts w:ascii="游ゴシック" w:hAnsi="游ゴシック" w:eastAsia="游ゴシック" w:cs="游ゴシック"/>
                <w:color w:val="243B53"/>
                <w:sz w:val="17"/>
              </w:rPr>
              <w:t xml:space="preserve">▶ </w:t>
            </w:r>
            <w:r>
              <w:rPr>
                <w:rFonts w:ascii="游ゴシック" w:hAnsi="游ゴシック" w:eastAsia="游ゴシック" w:cs="游ゴシック"/>
                <w:b w:val="0"/>
                <w:color w:val="5B6670"/>
                <w:sz w:val="20"/>
              </w:rPr>
              <w:t>安全に関わらない場合は、STEP1へ進みます。</w:t>
            </w:r>
          </w:p>
        </w:tc>
      </w:tr>
    </w:tbl>
    <w:p>
      <w:pPr>
        <w:spacing w:after="0" w:before="40"/>
      </w:pPr>
    </w:p>
    <w:tbl>
      <w:tblPr>
        <w:tblW w:type="dxa" w:w="9637"/>
        <w:jc w:val="center"/>
        <w:tblLayout w:type="fixed"/>
        <w:tblLook w:firstColumn="1" w:firstRow="1" w:lastColumn="0" w:lastRow="0" w:noHBand="0" w:noVBand="1" w:val="04A0"/>
      </w:tblPr>
      <w:tblGrid>
        <w:gridCol w:w="3213"/>
        <w:gridCol w:w="3213"/>
        <w:gridCol w:w="3213"/>
      </w:tblGrid>
      <w:tr>
        <w:tc>
          <w:tcPr>
            <w:tcW w:type="dxa" w:w="1247"/>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jc w:val="center"/>
            </w:pPr>
            <w:r/>
            <w:r>
              <w:rPr>
                <w:rFonts w:ascii="游ゴシック" w:hAnsi="游ゴシック" w:eastAsia="游ゴシック" w:cs="游ゴシック"/>
                <w:b/>
                <w:color w:val="FFFFFF"/>
                <w:sz w:val="19"/>
              </w:rPr>
            </w:r>
          </w:p>
        </w:tc>
        <w:tc>
          <w:tcPr>
            <w:tcW w:type="dxa" w:w="2947"/>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pPr>
            <w:r/>
            <w:r>
              <w:rPr>
                <w:rFonts w:ascii="游ゴシック" w:hAnsi="游ゴシック" w:eastAsia="游ゴシック" w:cs="游ゴシック"/>
                <w:b/>
                <w:color w:val="FFFFFF"/>
                <w:sz w:val="19"/>
              </w:rPr>
              <w:t>やること</w:t>
            </w:r>
          </w:p>
        </w:tc>
        <w:tc>
          <w:tcPr>
            <w:tcW w:type="dxa" w:w="5442"/>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pPr>
            <w:r/>
            <w:r>
              <w:rPr>
                <w:rFonts w:ascii="游ゴシック" w:hAnsi="游ゴシック" w:eastAsia="游ゴシック" w:cs="游ゴシック"/>
                <w:b/>
                <w:color w:val="FFFFFF"/>
                <w:sz w:val="19"/>
              </w:rPr>
              <w:t>ポイント</w:t>
            </w:r>
          </w:p>
        </w:tc>
      </w:tr>
      <w:tr>
        <w:tc>
          <w:tcPr>
            <w:tcW w:type="dxa" w:w="124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jc w:val="center"/>
            </w:pPr>
            <w:r/>
            <w:r>
              <w:rPr>
                <w:rFonts w:ascii="游ゴシック" w:hAnsi="游ゴシック" w:eastAsia="游ゴシック" w:cs="游ゴシック"/>
                <w:b/>
                <w:color w:val="16314F"/>
                <w:sz w:val="19"/>
              </w:rPr>
              <w:t>STEP 1</w:t>
            </w:r>
          </w:p>
        </w:tc>
        <w:tc>
          <w:tcPr>
            <w:tcW w:type="dxa" w:w="294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人の安全を最優先する</w:t>
            </w:r>
          </w:p>
        </w:tc>
        <w:tc>
          <w:tcPr>
            <w:tcW w:type="dxa" w:w="5442"/>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危険があれば、報告より先に身の安全と周囲の安全を確保する。</w:t>
            </w:r>
          </w:p>
        </w:tc>
      </w:tr>
      <w:tr>
        <w:tc>
          <w:tcPr>
            <w:tcW w:type="dxa" w:w="1247"/>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jc w:val="center"/>
            </w:pPr>
            <w:r/>
            <w:r>
              <w:rPr>
                <w:rFonts w:ascii="游ゴシック" w:hAnsi="游ゴシック" w:eastAsia="游ゴシック" w:cs="游ゴシック"/>
                <w:b/>
                <w:color w:val="16314F"/>
                <w:sz w:val="19"/>
              </w:rPr>
              <w:t>STEP 2</w:t>
            </w:r>
          </w:p>
        </w:tc>
        <w:tc>
          <w:tcPr>
            <w:tcW w:type="dxa" w:w="2947"/>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権限の範囲で、被害の拡大を防ぐ</w:t>
            </w:r>
          </w:p>
        </w:tc>
        <w:tc>
          <w:tcPr>
            <w:tcW w:type="dxa" w:w="5442"/>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自分の判断でできる範囲の応急対応のみ。権限を超える対応は単独で行わない。</w:t>
            </w:r>
          </w:p>
        </w:tc>
      </w:tr>
      <w:tr>
        <w:tc>
          <w:tcPr>
            <w:tcW w:type="dxa" w:w="124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jc w:val="center"/>
            </w:pPr>
            <w:r/>
            <w:r>
              <w:rPr>
                <w:rFonts w:ascii="游ゴシック" w:hAnsi="游ゴシック" w:eastAsia="游ゴシック" w:cs="游ゴシック"/>
                <w:b/>
                <w:color w:val="16314F"/>
                <w:sz w:val="19"/>
              </w:rPr>
              <w:t>STEP 3</w:t>
            </w:r>
          </w:p>
        </w:tc>
        <w:tc>
          <w:tcPr>
            <w:tcW w:type="dxa" w:w="294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確認できた事実を記録する</w:t>
            </w:r>
          </w:p>
        </w:tc>
        <w:tc>
          <w:tcPr>
            <w:tcW w:type="dxa" w:w="5442"/>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いつ・どこで・何が起きたか。「事実」「推測」「伝聞」を分けてメモする（次ページ参照）。</w:t>
            </w:r>
          </w:p>
        </w:tc>
      </w:tr>
      <w:tr>
        <w:tc>
          <w:tcPr>
            <w:tcW w:type="dxa" w:w="1247"/>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jc w:val="center"/>
            </w:pPr>
            <w:r/>
            <w:r>
              <w:rPr>
                <w:rFonts w:ascii="游ゴシック" w:hAnsi="游ゴシック" w:eastAsia="游ゴシック" w:cs="游ゴシック"/>
                <w:b/>
                <w:color w:val="16314F"/>
                <w:sz w:val="19"/>
              </w:rPr>
              <w:t>STEP 4</w:t>
            </w:r>
          </w:p>
        </w:tc>
        <w:tc>
          <w:tcPr>
            <w:tcW w:type="dxa" w:w="2947"/>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適切な報告先を選ぶ</w:t>
            </w:r>
          </w:p>
        </w:tc>
        <w:tc>
          <w:tcPr>
            <w:tcW w:type="dxa" w:w="5442"/>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迷ったら、まずは上司・主管部門で構わない。上司が関係していそうなときは別の経路を選ぶ。</w:t>
            </w:r>
          </w:p>
        </w:tc>
      </w:tr>
      <w:tr>
        <w:tc>
          <w:tcPr>
            <w:tcW w:type="dxa" w:w="124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jc w:val="center"/>
            </w:pPr>
            <w:r/>
            <w:r>
              <w:rPr>
                <w:rFonts w:ascii="游ゴシック" w:hAnsi="游ゴシック" w:eastAsia="游ゴシック" w:cs="游ゴシック"/>
                <w:b/>
                <w:color w:val="16314F"/>
                <w:sz w:val="19"/>
              </w:rPr>
              <w:t>STEP 5</w:t>
            </w:r>
          </w:p>
        </w:tc>
        <w:tc>
          <w:tcPr>
            <w:tcW w:type="dxa" w:w="294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記録・証拠を適切に保存する</w:t>
            </w:r>
          </w:p>
        </w:tc>
        <w:tc>
          <w:tcPr>
            <w:tcW w:type="dxa" w:w="5442"/>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消さない・書き換えない。私用メールや個人クラウドへの持ち出しはしない。</w:t>
            </w:r>
          </w:p>
        </w:tc>
      </w:tr>
    </w:tbl>
    <w:p>
      <w:pPr>
        <w:spacing w:after="0" w:before="60"/>
      </w:pPr>
    </w:p>
    <w:tbl>
      <w:tblPr>
        <w:tblW w:type="dxa" w:w="9637"/>
        <w:jc w:val="center"/>
        <w:tblBorders>
          <w:top w:val="none"/>
          <w:start w:val="none"/>
          <w:bottom w:val="none"/>
          <w:end w:val="none"/>
          <w:insideH w:val="none"/>
          <w:insideV w:val="none"/>
        </w:tblBorders>
        <w:tblLayout w:type="fixed"/>
        <w:tblLook w:firstColumn="1" w:firstRow="1" w:lastColumn="0" w:lastRow="0" w:noHBand="0" w:noVBand="1" w:val="04A0"/>
      </w:tblPr>
      <w:tblGrid>
        <w:gridCol w:w="9638"/>
      </w:tblGrid>
      <w:tr>
        <w:tc>
          <w:tcPr>
            <w:tcW w:type="dxa" w:w="9637"/>
            <w:tcBorders>
              <w:top w:val="single" w:sz="4" w:space="0" w:color="D7DDE3"/>
              <w:start w:val="single" w:sz="30" w:space="0" w:color="B58A3A"/>
              <w:bottom w:val="single" w:sz="4" w:space="0" w:color="D7DDE3"/>
              <w:end w:val="single" w:sz="4" w:space="0" w:color="D7DDE3"/>
            </w:tcBorders>
            <w:shd w:val="clear" w:color="auto" w:fill="F3ECDD"/>
            <w:tcMar>
              <w:top w:w="90" w:type="dxa"/>
              <w:start w:w="150" w:type="dxa"/>
              <w:bottom w:w="90" w:type="dxa"/>
              <w:end w:w="150" w:type="dxa"/>
            </w:tcMar>
          </w:tcPr>
          <w:p>
            <w:pPr>
              <w:spacing w:after="40" w:before="0"/>
            </w:pPr>
            <w:r>
              <w:rPr>
                <w:rFonts w:ascii="游ゴシック" w:hAnsi="游ゴシック" w:eastAsia="游ゴシック" w:cs="游ゴシック"/>
                <w:b/>
                <w:color w:val="B58A3A"/>
                <w:sz w:val="21"/>
              </w:rPr>
              <w:t>迷ったときの合言葉</w:t>
            </w:r>
          </w:p>
          <w:p>
            <w:pPr>
              <w:spacing w:after="40" w:before="0" w:line="278" w:lineRule="auto"/>
            </w:pPr>
            <w:r>
              <w:rPr>
                <w:rFonts w:ascii="游ゴシック" w:hAnsi="游ゴシック" w:eastAsia="游ゴシック" w:cs="游ゴシック"/>
                <w:b/>
                <w:color w:val="243B53"/>
                <w:sz w:val="22"/>
              </w:rPr>
              <w:t>「迷ったら報告する。ただし、関係者以外には広げない。」</w:t>
            </w:r>
          </w:p>
        </w:tc>
      </w:tr>
    </w:tbl>
    <w:p>
      <w:pPr>
        <w:keepNext/>
        <w:keepLines/>
        <w:spacing w:before="200" w:after="80" w:line="269" w:lineRule="auto"/>
      </w:pPr>
      <w:r>
        <w:rPr>
          <w:rFonts w:ascii="游ゴシック" w:hAnsi="游ゴシック" w:eastAsia="游ゴシック" w:cs="游ゴシック"/>
          <w:b/>
          <w:color w:val="16314F"/>
          <w:sz w:val="28"/>
        </w:rPr>
        <w:t>2　「事実・推測・伝聞」を分けて伝える</w:t>
      </w:r>
    </w:p>
    <w:p>
      <w:pPr>
        <w:pBdr>
          <w:bottom w:val="single" w:sz="6" w:space="1" w:color="D7DDE3"/>
        </w:pBdr>
        <w:spacing w:after="120" w:before="0"/>
      </w:pPr>
    </w:p>
    <w:p>
      <w:pPr>
        <w:spacing w:before="0" w:after="80" w:line="283" w:lineRule="auto"/>
      </w:pPr>
      <w:r>
        <w:rPr>
          <w:rFonts w:ascii="游ゴシック" w:hAnsi="游ゴシック" w:eastAsia="游ゴシック" w:cs="游ゴシック"/>
          <w:b w:val="0"/>
          <w:color w:val="263238"/>
          <w:sz w:val="21"/>
        </w:rPr>
        <w:t>報告するときは、自分が見聞きした事実と、自分の考え（推測）と、人から聞いた話（伝聞）を、混ぜずに分けて伝えると、受けた側が正しく判断できます。</w:t>
      </w:r>
    </w:p>
    <w:tbl>
      <w:tblPr>
        <w:tblW w:type="dxa" w:w="9637"/>
        <w:jc w:val="center"/>
        <w:tblLayout w:type="fixed"/>
        <w:tblLook w:firstColumn="1" w:firstRow="1" w:lastColumn="0" w:lastRow="0" w:noHBand="0" w:noVBand="1" w:val="04A0"/>
      </w:tblPr>
      <w:tblGrid>
        <w:gridCol w:w="3213"/>
        <w:gridCol w:w="3213"/>
        <w:gridCol w:w="3213"/>
      </w:tblGrid>
      <w:tr>
        <w:tc>
          <w:tcPr>
            <w:tcW w:type="dxa" w:w="1247"/>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jc w:val="center"/>
            </w:pPr>
            <w:r/>
            <w:r>
              <w:rPr>
                <w:rFonts w:ascii="游ゴシック" w:hAnsi="游ゴシック" w:eastAsia="游ゴシック" w:cs="游ゴシック"/>
                <w:b/>
                <w:color w:val="FFFFFF"/>
                <w:sz w:val="19"/>
              </w:rPr>
              <w:t>区分</w:t>
            </w:r>
          </w:p>
        </w:tc>
        <w:tc>
          <w:tcPr>
            <w:tcW w:type="dxa" w:w="2834"/>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pPr>
            <w:r/>
            <w:r>
              <w:rPr>
                <w:rFonts w:ascii="游ゴシック" w:hAnsi="游ゴシック" w:eastAsia="游ゴシック" w:cs="游ゴシック"/>
                <w:b/>
                <w:color w:val="FFFFFF"/>
                <w:sz w:val="19"/>
              </w:rPr>
              <w:t>意味</w:t>
            </w:r>
          </w:p>
        </w:tc>
        <w:tc>
          <w:tcPr>
            <w:tcW w:type="dxa" w:w="5555"/>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pPr>
            <w:r/>
            <w:r>
              <w:rPr>
                <w:rFonts w:ascii="游ゴシック" w:hAnsi="游ゴシック" w:eastAsia="游ゴシック" w:cs="游ゴシック"/>
                <w:b/>
                <w:color w:val="FFFFFF"/>
                <w:sz w:val="19"/>
              </w:rPr>
              <w:t>伝え方の例</w:t>
            </w:r>
          </w:p>
        </w:tc>
      </w:tr>
      <w:tr>
        <w:tc>
          <w:tcPr>
            <w:tcW w:type="dxa" w:w="124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jc w:val="center"/>
            </w:pPr>
            <w:r/>
            <w:r>
              <w:rPr>
                <w:rFonts w:ascii="游ゴシック" w:hAnsi="游ゴシック" w:eastAsia="游ゴシック" w:cs="游ゴシック"/>
                <w:b/>
                <w:color w:val="16314F"/>
                <w:sz w:val="19"/>
              </w:rPr>
              <w:t>事実</w:t>
            </w:r>
          </w:p>
        </w:tc>
        <w:tc>
          <w:tcPr>
            <w:tcW w:type="dxa" w:w="2834"/>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自分が直接見た・確認したこと</w:t>
            </w:r>
          </w:p>
        </w:tc>
        <w:tc>
          <w:tcPr>
            <w:tcW w:type="dxa" w:w="5555"/>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「14時頃、A社向けのメールに別の顧客の一覧が添付されているのを確認しました」</w:t>
            </w:r>
          </w:p>
        </w:tc>
      </w:tr>
      <w:tr>
        <w:tc>
          <w:tcPr>
            <w:tcW w:type="dxa" w:w="1247"/>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jc w:val="center"/>
            </w:pPr>
            <w:r/>
            <w:r>
              <w:rPr>
                <w:rFonts w:ascii="游ゴシック" w:hAnsi="游ゴシック" w:eastAsia="游ゴシック" w:cs="游ゴシック"/>
                <w:b/>
                <w:color w:val="16314F"/>
                <w:sz w:val="19"/>
              </w:rPr>
              <w:t>推測</w:t>
            </w:r>
          </w:p>
        </w:tc>
        <w:tc>
          <w:tcPr>
            <w:tcW w:type="dxa" w:w="2834"/>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自分の考え・解釈・予想</w:t>
            </w:r>
          </w:p>
        </w:tc>
        <w:tc>
          <w:tcPr>
            <w:tcW w:type="dxa" w:w="5555"/>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「誤って添付されたのではないかと思います」</w:t>
            </w:r>
          </w:p>
        </w:tc>
      </w:tr>
      <w:tr>
        <w:tc>
          <w:tcPr>
            <w:tcW w:type="dxa" w:w="124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jc w:val="center"/>
            </w:pPr>
            <w:r/>
            <w:r>
              <w:rPr>
                <w:rFonts w:ascii="游ゴシック" w:hAnsi="游ゴシック" w:eastAsia="游ゴシック" w:cs="游ゴシック"/>
                <w:b/>
                <w:color w:val="16314F"/>
                <w:sz w:val="19"/>
              </w:rPr>
              <w:t>伝聞</w:t>
            </w:r>
          </w:p>
        </w:tc>
        <w:tc>
          <w:tcPr>
            <w:tcW w:type="dxa" w:w="2834"/>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人から聞いた話</w:t>
            </w:r>
          </w:p>
        </w:tc>
        <w:tc>
          <w:tcPr>
            <w:tcW w:type="dxa" w:w="5555"/>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「同僚のBさんが『先方から連絡があった』と言っていました」</w:t>
            </w:r>
          </w:p>
        </w:tc>
      </w:tr>
    </w:tbl>
    <w:p>
      <w:pPr>
        <w:keepNext/>
        <w:keepLines/>
        <w:spacing w:before="200" w:after="80" w:line="269" w:lineRule="auto"/>
      </w:pPr>
      <w:r>
        <w:rPr>
          <w:rFonts w:ascii="游ゴシック" w:hAnsi="游ゴシック" w:eastAsia="游ゴシック" w:cs="游ゴシック"/>
          <w:b/>
          <w:color w:val="16314F"/>
          <w:sz w:val="28"/>
        </w:rPr>
        <w:t>3　どこに伝える？　4つの入口</w:t>
      </w:r>
    </w:p>
    <w:p>
      <w:pPr>
        <w:pBdr>
          <w:bottom w:val="single" w:sz="6" w:space="1" w:color="D7DDE3"/>
        </w:pBdr>
        <w:spacing w:after="120" w:before="0"/>
      </w:pPr>
    </w:p>
    <w:p>
      <w:pPr>
        <w:spacing w:before="0" w:after="80" w:line="283" w:lineRule="auto"/>
      </w:pPr>
      <w:r>
        <w:rPr>
          <w:rFonts w:ascii="游ゴシック" w:hAnsi="游ゴシック" w:eastAsia="游ゴシック" w:cs="游ゴシック"/>
          <w:b w:val="0"/>
          <w:color w:val="263238"/>
          <w:sz w:val="21"/>
        </w:rPr>
        <w:t>伝える先には、大きく4つの入口があります。どれか1つを選んだら他は使えない、という関係ではありません。状況に応じて使い分け、ときには併用します。</w:t>
      </w:r>
    </w:p>
    <w:tbl>
      <w:tblPr>
        <w:tblW w:type="dxa" w:w="9637"/>
        <w:jc w:val="center"/>
        <w:tblLayout w:type="fixed"/>
        <w:tblLook w:firstColumn="1" w:firstRow="1" w:lastColumn="0" w:lastRow="0" w:noHBand="0" w:noVBand="1" w:val="04A0"/>
      </w:tblPr>
      <w:tblGrid>
        <w:gridCol w:w="3213"/>
        <w:gridCol w:w="3213"/>
        <w:gridCol w:w="3213"/>
      </w:tblGrid>
      <w:tr>
        <w:tc>
          <w:tcPr>
            <w:tcW w:type="dxa" w:w="1587"/>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pPr>
            <w:r/>
            <w:r>
              <w:rPr>
                <w:rFonts w:ascii="游ゴシック" w:hAnsi="游ゴシック" w:eastAsia="游ゴシック" w:cs="游ゴシック"/>
                <w:b/>
                <w:color w:val="FFFFFF"/>
                <w:sz w:val="19"/>
              </w:rPr>
              <w:t>入口</w:t>
            </w:r>
          </w:p>
        </w:tc>
        <w:tc>
          <w:tcPr>
            <w:tcW w:type="dxa" w:w="3628"/>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pPr>
            <w:r/>
            <w:r>
              <w:rPr>
                <w:rFonts w:ascii="游ゴシック" w:hAnsi="游ゴシック" w:eastAsia="游ゴシック" w:cs="游ゴシック"/>
                <w:b/>
                <w:color w:val="FFFFFF"/>
                <w:sz w:val="19"/>
              </w:rPr>
              <w:t>こんなときに</w:t>
            </w:r>
          </w:p>
        </w:tc>
        <w:tc>
          <w:tcPr>
            <w:tcW w:type="dxa" w:w="4421"/>
            <w:tcBorders>
              <w:top w:val="single" w:sz="4" w:space="0" w:color="16314F"/>
              <w:start w:val="single" w:sz="4" w:space="0" w:color="16314F"/>
              <w:bottom w:val="single" w:sz="4" w:space="0" w:color="16314F"/>
              <w:end w:val="single" w:sz="4" w:space="0" w:color="16314F"/>
            </w:tcBorders>
            <w:shd w:val="clear" w:color="auto" w:fill="16314F"/>
            <w:tcMar>
              <w:top w:w="60" w:type="dxa"/>
              <w:start w:w="110" w:type="dxa"/>
              <w:bottom w:w="60" w:type="dxa"/>
              <w:end w:w="110" w:type="dxa"/>
            </w:tcMar>
            <w:vAlign w:val="center"/>
          </w:tcPr>
          <w:p>
            <w:pPr>
              <w:spacing w:after="20" w:before="20" w:line="269" w:lineRule="auto"/>
            </w:pPr>
            <w:r/>
            <w:r>
              <w:rPr>
                <w:rFonts w:ascii="游ゴシック" w:hAnsi="游ゴシック" w:eastAsia="游ゴシック" w:cs="游ゴシック"/>
                <w:b/>
                <w:color w:val="FFFFFF"/>
                <w:sz w:val="19"/>
              </w:rPr>
              <w:t>補足</w:t>
            </w:r>
          </w:p>
        </w:tc>
      </w:tr>
      <w:tr>
        <w:tc>
          <w:tcPr>
            <w:tcW w:type="dxa" w:w="158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color w:val="16314F"/>
                <w:sz w:val="19"/>
              </w:rPr>
              <w:t>① 通常報告</w:t>
            </w:r>
          </w:p>
        </w:tc>
        <w:tc>
          <w:tcPr>
            <w:tcW w:type="dxa" w:w="3628"/>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ふだんの業務上の問題に気づいたとき</w:t>
            </w:r>
          </w:p>
        </w:tc>
        <w:tc>
          <w:tcPr>
            <w:tcW w:type="dxa" w:w="4421"/>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いつもの上司・主管部門へ。迷ったら、まずここで構わない。</w:t>
            </w:r>
          </w:p>
        </w:tc>
      </w:tr>
      <w:tr>
        <w:tc>
          <w:tcPr>
            <w:tcW w:type="dxa" w:w="1587"/>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color w:val="16314F"/>
                <w:sz w:val="19"/>
              </w:rPr>
              <w:t>② 専門窓口</w:t>
            </w:r>
          </w:p>
        </w:tc>
        <w:tc>
          <w:tcPr>
            <w:tcW w:type="dxa" w:w="3628"/>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個人情報・情報セキュリティ・安全などの専門分野</w:t>
            </w:r>
          </w:p>
        </w:tc>
        <w:tc>
          <w:tcPr>
            <w:tcW w:type="dxa" w:w="4421"/>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社内の担当部門（情報管理・総務・安全担当など）へ。</w:t>
            </w:r>
          </w:p>
        </w:tc>
      </w:tr>
      <w:tr>
        <w:tc>
          <w:tcPr>
            <w:tcW w:type="dxa" w:w="1587"/>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color w:val="16314F"/>
                <w:sz w:val="19"/>
              </w:rPr>
              <w:t>③ 内部通報窓口</w:t>
            </w:r>
          </w:p>
        </w:tc>
        <w:tc>
          <w:tcPr>
            <w:tcW w:type="dxa" w:w="3628"/>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通常ルートでは伝えにくいとき／上司が関係しているとき</w:t>
            </w:r>
          </w:p>
        </w:tc>
        <w:tc>
          <w:tcPr>
            <w:tcW w:type="dxa" w:w="4421"/>
            <w:tcBorders>
              <w:top w:val="single" w:sz="4" w:space="0" w:color="D7DDE3"/>
              <w:start w:val="single" w:sz="4" w:space="0" w:color="D7DDE3"/>
              <w:bottom w:val="single" w:sz="4" w:space="0" w:color="D7DDE3"/>
              <w:end w:val="single" w:sz="4" w:space="0" w:color="D7DDE3"/>
            </w:tcBorders>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社内規程に基づく窓口。通常報告と対立するものではなく、別の経路という位置づけ。</w:t>
            </w:r>
          </w:p>
        </w:tc>
      </w:tr>
      <w:tr>
        <w:tc>
          <w:tcPr>
            <w:tcW w:type="dxa" w:w="1587"/>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color w:val="16314F"/>
                <w:sz w:val="19"/>
              </w:rPr>
              <w:t>④ 緊急連絡</w:t>
            </w:r>
          </w:p>
        </w:tc>
        <w:tc>
          <w:tcPr>
            <w:tcW w:type="dxa" w:w="3628"/>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生命・身体・安全に関わり、急を要するとき</w:t>
            </w:r>
          </w:p>
        </w:tc>
        <w:tc>
          <w:tcPr>
            <w:tcW w:type="dxa" w:w="4421"/>
            <w:tcBorders>
              <w:top w:val="single" w:sz="4" w:space="0" w:color="D7DDE3"/>
              <w:start w:val="single" w:sz="4" w:space="0" w:color="D7DDE3"/>
              <w:bottom w:val="single" w:sz="4" w:space="0" w:color="D7DDE3"/>
              <w:end w:val="single" w:sz="4" w:space="0" w:color="D7DDE3"/>
            </w:tcBorders>
            <w:shd w:val="clear" w:color="auto" w:fill="EEF1F5"/>
            <w:tcMar>
              <w:top w:w="60" w:type="dxa"/>
              <w:start w:w="110" w:type="dxa"/>
              <w:bottom w:w="60" w:type="dxa"/>
              <w:end w:w="110" w:type="dxa"/>
            </w:tcMar>
            <w:vAlign w:val="center"/>
          </w:tcPr>
          <w:p>
            <w:pPr>
              <w:spacing w:after="20" w:before="20" w:line="274" w:lineRule="auto"/>
            </w:pPr>
            <w:r/>
            <w:r>
              <w:rPr>
                <w:rFonts w:ascii="游ゴシック" w:hAnsi="游ゴシック" w:eastAsia="游ゴシック" w:cs="游ゴシック"/>
                <w:b w:val="0"/>
                <w:color w:val="263238"/>
                <w:sz w:val="19"/>
              </w:rPr>
              <w:t>STEP0と同じ。まず安全確保を優先する。</w:t>
            </w:r>
          </w:p>
        </w:tc>
      </w:tr>
    </w:tbl>
    <w:p>
      <w:pPr>
        <w:spacing w:after="0" w:before="40"/>
      </w:pPr>
    </w:p>
    <w:tbl>
      <w:tblPr>
        <w:tblW w:type="dxa" w:w="9637"/>
        <w:jc w:val="center"/>
        <w:tblBorders>
          <w:top w:val="none"/>
          <w:start w:val="none"/>
          <w:bottom w:val="none"/>
          <w:end w:val="none"/>
          <w:insideH w:val="none"/>
          <w:insideV w:val="none"/>
        </w:tblBorders>
        <w:tblLayout w:type="fixed"/>
        <w:tblLook w:firstColumn="1" w:firstRow="1" w:lastColumn="0" w:lastRow="0" w:noHBand="0" w:noVBand="1" w:val="04A0"/>
      </w:tblPr>
      <w:tblGrid>
        <w:gridCol w:w="9638"/>
      </w:tblGrid>
      <w:tr>
        <w:tc>
          <w:tcPr>
            <w:tcW w:type="dxa" w:w="9637"/>
            <w:tcBorders>
              <w:top w:val="single" w:sz="4" w:space="0" w:color="D7DDE3"/>
              <w:start w:val="single" w:sz="30" w:space="0" w:color="16314F"/>
              <w:bottom w:val="single" w:sz="4" w:space="0" w:color="D7DDE3"/>
              <w:end w:val="single" w:sz="4" w:space="0" w:color="D7DDE3"/>
            </w:tcBorders>
            <w:shd w:val="clear" w:color="auto" w:fill="F4F6F9"/>
            <w:tcMar>
              <w:top w:w="90" w:type="dxa"/>
              <w:start w:w="150" w:type="dxa"/>
              <w:bottom w:w="90" w:type="dxa"/>
              <w:end w:w="150" w:type="dxa"/>
            </w:tcMar>
          </w:tcPr>
          <w:p>
            <w:pPr>
              <w:spacing w:after="40" w:before="0"/>
            </w:pPr>
            <w:r>
              <w:rPr>
                <w:rFonts w:ascii="游ゴシック" w:hAnsi="游ゴシック" w:eastAsia="游ゴシック" w:cs="游ゴシック"/>
                <w:b/>
                <w:color w:val="16314F"/>
                <w:sz w:val="21"/>
              </w:rPr>
              <w:t>知っておきたい区別</w:t>
            </w:r>
          </w:p>
          <w:p>
            <w:pPr>
              <w:spacing w:after="40" w:before="0" w:line="278" w:lineRule="auto"/>
            </w:pPr>
            <w:r>
              <w:rPr>
                <w:rFonts w:ascii="游ゴシック" w:hAnsi="游ゴシック" w:eastAsia="游ゴシック" w:cs="游ゴシック"/>
                <w:b/>
                <w:color w:val="263238"/>
                <w:sz w:val="20"/>
              </w:rPr>
              <w:t>「社内の内部通報」と「法律上の公益通報」は、同じではありません。</w:t>
            </w:r>
          </w:p>
          <w:p>
            <w:pPr>
              <w:spacing w:after="40" w:before="0" w:line="278" w:lineRule="auto"/>
              <w:ind w:left="283" w:hanging="283"/>
            </w:pPr>
            <w:r>
              <w:rPr>
                <w:rFonts w:ascii="游ゴシック" w:hAnsi="游ゴシック" w:eastAsia="游ゴシック" w:cs="游ゴシック"/>
                <w:color w:val="243B53"/>
                <w:sz w:val="17"/>
              </w:rPr>
              <w:t xml:space="preserve">・ </w:t>
            </w:r>
            <w:r>
              <w:rPr>
                <w:rFonts w:ascii="游ゴシック" w:hAnsi="游ゴシック" w:eastAsia="游ゴシック" w:cs="游ゴシック"/>
                <w:b w:val="0"/>
                <w:color w:val="263238"/>
                <w:sz w:val="20"/>
              </w:rPr>
              <w:t>社内窓口に相談すれば、必ず公益通報者保護法で保護される、というわけではありません。保護の対象になるかどうかは、通報の内容や要件によって決まります。</w:t>
            </w:r>
          </w:p>
          <w:p>
            <w:pPr>
              <w:spacing w:after="40" w:before="0" w:line="278" w:lineRule="auto"/>
              <w:ind w:left="283" w:hanging="283"/>
            </w:pPr>
            <w:r>
              <w:rPr>
                <w:rFonts w:ascii="游ゴシック" w:hAnsi="游ゴシック" w:eastAsia="游ゴシック" w:cs="游ゴシック"/>
                <w:color w:val="243B53"/>
                <w:sz w:val="17"/>
              </w:rPr>
              <w:t xml:space="preserve">・ </w:t>
            </w:r>
            <w:r>
              <w:rPr>
                <w:rFonts w:ascii="游ゴシック" w:hAnsi="游ゴシック" w:eastAsia="游ゴシック" w:cs="游ゴシック"/>
                <w:b w:val="0"/>
                <w:color w:val="263238"/>
                <w:sz w:val="20"/>
              </w:rPr>
              <w:t>一方で、行政機関や報道機関等への「外部への通報」が、常に禁止されているわけでもありません。一定の要件を満たす外部通報も、法律上保護され得ます。</w:t>
            </w:r>
          </w:p>
          <w:p>
            <w:pPr>
              <w:spacing w:after="40" w:before="0" w:line="278" w:lineRule="auto"/>
              <w:ind w:left="283" w:hanging="283"/>
            </w:pPr>
            <w:r>
              <w:rPr>
                <w:rFonts w:ascii="游ゴシック" w:hAnsi="游ゴシック" w:eastAsia="游ゴシック" w:cs="游ゴシック"/>
                <w:color w:val="243B53"/>
                <w:sz w:val="17"/>
              </w:rPr>
              <w:t xml:space="preserve">・ </w:t>
            </w:r>
            <w:r>
              <w:rPr>
                <w:rFonts w:ascii="游ゴシック" w:hAnsi="游ゴシック" w:eastAsia="游ゴシック" w:cs="游ゴシック"/>
                <w:b w:val="0"/>
                <w:color w:val="5B6670"/>
                <w:sz w:val="20"/>
              </w:rPr>
              <w:t>詳しい要件は会社の窓口や担当部門に確認してください。</w:t>
            </w:r>
          </w:p>
        </w:tc>
      </w:tr>
    </w:tbl>
    <w:p>
      <w:pPr>
        <w:keepNext/>
        <w:keepLines/>
        <w:spacing w:before="200" w:after="80" w:line="269" w:lineRule="auto"/>
      </w:pPr>
      <w:r>
        <w:rPr>
          <w:rFonts w:ascii="游ゴシック" w:hAnsi="游ゴシック" w:eastAsia="游ゴシック" w:cs="游ゴシック"/>
          <w:b/>
          <w:color w:val="16314F"/>
          <w:sz w:val="28"/>
        </w:rPr>
        <w:t>4　やってはいけないこと</w:t>
      </w:r>
    </w:p>
    <w:p>
      <w:pPr>
        <w:pBdr>
          <w:bottom w:val="single" w:sz="6" w:space="1" w:color="D7DDE3"/>
        </w:pBdr>
        <w:spacing w:after="120" w:before="0"/>
      </w:pPr>
    </w:p>
    <w:p>
      <w:pPr>
        <w:spacing w:after="40" w:line="278" w:lineRule="auto"/>
        <w:ind w:left="340" w:hanging="283"/>
      </w:pPr>
      <w:r>
        <w:rPr>
          <w:rFonts w:ascii="游ゴシック" w:hAnsi="游ゴシック" w:eastAsia="游ゴシック" w:cs="游ゴシック"/>
          <w:color w:val="B42318"/>
          <w:sz w:val="18"/>
        </w:rPr>
        <w:t xml:space="preserve">× </w:t>
      </w:r>
      <w:r>
        <w:rPr>
          <w:rFonts w:ascii="游ゴシック" w:hAnsi="游ゴシック" w:eastAsia="游ゴシック" w:cs="游ゴシック"/>
          <w:color w:val="263238"/>
          <w:sz w:val="21"/>
        </w:rPr>
        <w:t>自分だけで「違法だ」と決めつけて、社外に告発する</w:t>
      </w:r>
    </w:p>
    <w:p>
      <w:pPr>
        <w:spacing w:after="40" w:line="278" w:lineRule="auto"/>
        <w:ind w:left="340" w:hanging="283"/>
      </w:pPr>
      <w:r>
        <w:rPr>
          <w:rFonts w:ascii="游ゴシック" w:hAnsi="游ゴシック" w:eastAsia="游ゴシック" w:cs="游ゴシック"/>
          <w:color w:val="B42318"/>
          <w:sz w:val="18"/>
        </w:rPr>
        <w:t xml:space="preserve">× </w:t>
      </w:r>
      <w:r>
        <w:rPr>
          <w:rFonts w:ascii="游ゴシック" w:hAnsi="游ゴシック" w:eastAsia="游ゴシック" w:cs="游ゴシック"/>
          <w:color w:val="263238"/>
          <w:sz w:val="21"/>
        </w:rPr>
        <w:t>「大したことない」と決めつけて、誰にも伝えずに放置する</w:t>
      </w:r>
    </w:p>
    <w:p>
      <w:pPr>
        <w:spacing w:after="40" w:line="278" w:lineRule="auto"/>
        <w:ind w:left="340" w:hanging="283"/>
      </w:pPr>
      <w:r>
        <w:rPr>
          <w:rFonts w:ascii="游ゴシック" w:hAnsi="游ゴシック" w:eastAsia="游ゴシック" w:cs="游ゴシック"/>
          <w:color w:val="B42318"/>
          <w:sz w:val="18"/>
        </w:rPr>
        <w:t xml:space="preserve">× </w:t>
      </w:r>
      <w:r>
        <w:rPr>
          <w:rFonts w:ascii="游ゴシック" w:hAnsi="游ゴシック" w:eastAsia="游ゴシック" w:cs="游ゴシック"/>
          <w:color w:val="263238"/>
          <w:sz w:val="21"/>
        </w:rPr>
        <w:t>関係者以外の同僚や、SNS・社外の知人に言いふらす</w:t>
      </w:r>
    </w:p>
    <w:p>
      <w:pPr>
        <w:spacing w:after="40" w:line="278" w:lineRule="auto"/>
        <w:ind w:left="340" w:hanging="283"/>
      </w:pPr>
      <w:r>
        <w:rPr>
          <w:rFonts w:ascii="游ゴシック" w:hAnsi="游ゴシック" w:eastAsia="游ゴシック" w:cs="游ゴシック"/>
          <w:color w:val="B42318"/>
          <w:sz w:val="18"/>
        </w:rPr>
        <w:t xml:space="preserve">× </w:t>
      </w:r>
      <w:r>
        <w:rPr>
          <w:rFonts w:ascii="游ゴシック" w:hAnsi="游ゴシック" w:eastAsia="游ゴシック" w:cs="游ゴシック"/>
          <w:color w:val="263238"/>
          <w:sz w:val="21"/>
        </w:rPr>
        <w:t>証拠やデータを、私用メール・個人のクラウド・USBなどに持ち出す</w:t>
      </w:r>
    </w:p>
    <w:p>
      <w:pPr>
        <w:spacing w:after="40" w:line="278" w:lineRule="auto"/>
        <w:ind w:left="340" w:hanging="283"/>
      </w:pPr>
      <w:r>
        <w:rPr>
          <w:rFonts w:ascii="游ゴシック" w:hAnsi="游ゴシック" w:eastAsia="游ゴシック" w:cs="游ゴシック"/>
          <w:color w:val="B42318"/>
          <w:sz w:val="18"/>
        </w:rPr>
        <w:t xml:space="preserve">× </w:t>
      </w:r>
      <w:r>
        <w:rPr>
          <w:rFonts w:ascii="游ゴシック" w:hAnsi="游ゴシック" w:eastAsia="游ゴシック" w:cs="游ゴシック"/>
          <w:color w:val="263238"/>
          <w:sz w:val="21"/>
        </w:rPr>
        <w:t>権限がないのに、関係しそうなシステムやファイルに勝手にアクセスして調べる</w:t>
      </w:r>
    </w:p>
    <w:p>
      <w:pPr>
        <w:spacing w:after="40" w:line="278" w:lineRule="auto"/>
        <w:ind w:left="340" w:hanging="283"/>
      </w:pPr>
      <w:r>
        <w:rPr>
          <w:rFonts w:ascii="游ゴシック" w:hAnsi="游ゴシック" w:eastAsia="游ゴシック" w:cs="游ゴシック"/>
          <w:color w:val="B42318"/>
          <w:sz w:val="18"/>
        </w:rPr>
        <w:t xml:space="preserve">× </w:t>
      </w:r>
      <w:r>
        <w:rPr>
          <w:rFonts w:ascii="游ゴシック" w:hAnsi="游ゴシック" w:eastAsia="游ゴシック" w:cs="游ゴシック"/>
          <w:color w:val="263238"/>
          <w:sz w:val="21"/>
        </w:rPr>
        <w:t>記録やデータを、消す・書き換える・上書きする</w:t>
      </w:r>
    </w:p>
    <w:p>
      <w:pPr>
        <w:spacing w:after="40" w:line="278" w:lineRule="auto"/>
        <w:ind w:left="340" w:hanging="283"/>
      </w:pPr>
      <w:r>
        <w:rPr>
          <w:rFonts w:ascii="游ゴシック" w:hAnsi="游ゴシック" w:eastAsia="游ゴシック" w:cs="游ゴシック"/>
          <w:color w:val="B42318"/>
          <w:sz w:val="18"/>
        </w:rPr>
        <w:t xml:space="preserve">× </w:t>
      </w:r>
      <w:r>
        <w:rPr>
          <w:rFonts w:ascii="游ゴシック" w:hAnsi="游ゴシック" w:eastAsia="游ゴシック" w:cs="游ゴシック"/>
          <w:color w:val="263238"/>
          <w:sz w:val="21"/>
        </w:rPr>
        <w:t>「自分が確認してから報告しよう」と抱え込み、報告を遅らせる</w:t>
      </w:r>
    </w:p>
    <w:p>
      <w:pPr>
        <w:spacing w:after="40" w:line="278" w:lineRule="auto"/>
        <w:ind w:left="340" w:hanging="283"/>
      </w:pPr>
      <w:r>
        <w:rPr>
          <w:rFonts w:ascii="游ゴシック" w:hAnsi="游ゴシック" w:eastAsia="游ゴシック" w:cs="游ゴシック"/>
          <w:color w:val="B42318"/>
          <w:sz w:val="18"/>
        </w:rPr>
        <w:t xml:space="preserve">× </w:t>
      </w:r>
      <w:r>
        <w:rPr>
          <w:rFonts w:ascii="游ゴシック" w:hAnsi="游ゴシック" w:eastAsia="游ゴシック" w:cs="游ゴシック"/>
          <w:color w:val="263238"/>
          <w:sz w:val="21"/>
        </w:rPr>
        <w:t>通報・相談した人を、犯人探しのように問い詰める（管理職の場合）</w:t>
      </w:r>
    </w:p>
    <w:p>
      <w:pPr>
        <w:keepNext/>
        <w:keepLines/>
        <w:spacing w:before="200" w:after="80" w:line="269" w:lineRule="auto"/>
      </w:pPr>
      <w:r>
        <w:rPr>
          <w:rFonts w:ascii="游ゴシック" w:hAnsi="游ゴシック" w:eastAsia="游ゴシック" w:cs="游ゴシック"/>
          <w:b/>
          <w:color w:val="16314F"/>
          <w:sz w:val="28"/>
        </w:rPr>
        <w:t>5　今日から実践する、5つの行動原則</w:t>
      </w:r>
    </w:p>
    <w:p>
      <w:pPr>
        <w:pBdr>
          <w:bottom w:val="single" w:sz="6" w:space="1" w:color="D7DDE3"/>
        </w:pBdr>
        <w:spacing w:after="120" w:before="0"/>
      </w:pPr>
    </w:p>
    <w:p>
      <w:pPr>
        <w:spacing w:before="0" w:after="60" w:line="283" w:lineRule="auto"/>
        <w:ind w:left="454"/>
      </w:pPr>
      <w:r>
        <w:rPr>
          <w:rFonts w:ascii="游ゴシック" w:hAnsi="游ゴシック" w:eastAsia="游ゴシック" w:cs="游ゴシック"/>
          <w:b/>
          <w:color w:val="16314F"/>
          <w:sz w:val="22"/>
        </w:rPr>
        <w:t xml:space="preserve">1. </w:t>
      </w:r>
      <w:r>
        <w:rPr>
          <w:rFonts w:ascii="游ゴシック" w:hAnsi="游ゴシック" w:eastAsia="游ゴシック" w:cs="游ゴシック"/>
          <w:b/>
          <w:color w:val="243B53"/>
          <w:sz w:val="21"/>
        </w:rPr>
        <w:t xml:space="preserve">人の安全を最優先する　</w:t>
      </w:r>
      <w:r>
        <w:rPr>
          <w:rFonts w:ascii="游ゴシック" w:hAnsi="游ゴシック" w:eastAsia="游ゴシック" w:cs="游ゴシック"/>
          <w:b w:val="0"/>
          <w:color w:val="5B6670"/>
          <w:sz w:val="19"/>
        </w:rPr>
        <w:t>危険があれば、報告より先に安全確保。</w:t>
      </w:r>
    </w:p>
    <w:p>
      <w:pPr>
        <w:spacing w:before="0" w:after="60" w:line="283" w:lineRule="auto"/>
        <w:ind w:left="454"/>
      </w:pPr>
      <w:r>
        <w:rPr>
          <w:rFonts w:ascii="游ゴシック" w:hAnsi="游ゴシック" w:eastAsia="游ゴシック" w:cs="游ゴシック"/>
          <w:b/>
          <w:color w:val="16314F"/>
          <w:sz w:val="22"/>
        </w:rPr>
        <w:t xml:space="preserve">2. </w:t>
      </w:r>
      <w:r>
        <w:rPr>
          <w:rFonts w:ascii="游ゴシック" w:hAnsi="游ゴシック" w:eastAsia="游ゴシック" w:cs="游ゴシック"/>
          <w:b/>
          <w:color w:val="243B53"/>
          <w:sz w:val="21"/>
        </w:rPr>
        <w:t xml:space="preserve">迷ったら報告する。ただし、関係者以外には広げない　</w:t>
      </w:r>
      <w:r>
        <w:rPr>
          <w:rFonts w:ascii="游ゴシック" w:hAnsi="游ゴシック" w:eastAsia="游ゴシック" w:cs="游ゴシック"/>
          <w:b w:val="0"/>
          <w:color w:val="5B6670"/>
          <w:sz w:val="19"/>
        </w:rPr>
        <w:t>報告と「言いふらし」は別物。届ける先を間違えない。</w:t>
      </w:r>
    </w:p>
    <w:p>
      <w:pPr>
        <w:spacing w:before="0" w:after="60" w:line="283" w:lineRule="auto"/>
        <w:ind w:left="454"/>
      </w:pPr>
      <w:r>
        <w:rPr>
          <w:rFonts w:ascii="游ゴシック" w:hAnsi="游ゴシック" w:eastAsia="游ゴシック" w:cs="游ゴシック"/>
          <w:b/>
          <w:color w:val="16314F"/>
          <w:sz w:val="22"/>
        </w:rPr>
        <w:t xml:space="preserve">3. </w:t>
      </w:r>
      <w:r>
        <w:rPr>
          <w:rFonts w:ascii="游ゴシック" w:hAnsi="游ゴシック" w:eastAsia="游ゴシック" w:cs="游ゴシック"/>
          <w:b/>
          <w:color w:val="243B53"/>
          <w:sz w:val="21"/>
        </w:rPr>
        <w:t xml:space="preserve">「事実」と「推測」を分ける　</w:t>
      </w:r>
      <w:r>
        <w:rPr>
          <w:rFonts w:ascii="游ゴシック" w:hAnsi="游ゴシック" w:eastAsia="游ゴシック" w:cs="游ゴシック"/>
          <w:b w:val="0"/>
          <w:color w:val="5B6670"/>
          <w:sz w:val="19"/>
        </w:rPr>
        <w:t>見たことと、思ったことを混ぜない。</w:t>
      </w:r>
    </w:p>
    <w:p>
      <w:pPr>
        <w:spacing w:before="0" w:after="60" w:line="283" w:lineRule="auto"/>
        <w:ind w:left="454"/>
      </w:pPr>
      <w:r>
        <w:rPr>
          <w:rFonts w:ascii="游ゴシック" w:hAnsi="游ゴシック" w:eastAsia="游ゴシック" w:cs="游ゴシック"/>
          <w:b/>
          <w:color w:val="16314F"/>
          <w:sz w:val="22"/>
        </w:rPr>
        <w:t xml:space="preserve">4. </w:t>
      </w:r>
      <w:r>
        <w:rPr>
          <w:rFonts w:ascii="游ゴシック" w:hAnsi="游ゴシック" w:eastAsia="游ゴシック" w:cs="游ゴシック"/>
          <w:b/>
          <w:color w:val="243B53"/>
          <w:sz w:val="21"/>
        </w:rPr>
        <w:t xml:space="preserve">記録は、消さない・変えない・持ち出さない　</w:t>
      </w:r>
      <w:r>
        <w:rPr>
          <w:rFonts w:ascii="游ゴシック" w:hAnsi="游ゴシック" w:eastAsia="游ゴシック" w:cs="游ゴシック"/>
          <w:b w:val="0"/>
          <w:color w:val="5B6670"/>
          <w:sz w:val="19"/>
        </w:rPr>
        <w:t>後からの確認と調査のために残す。</w:t>
      </w:r>
    </w:p>
    <w:p>
      <w:pPr>
        <w:spacing w:before="0" w:after="60" w:line="283" w:lineRule="auto"/>
        <w:ind w:left="454"/>
      </w:pPr>
      <w:r>
        <w:rPr>
          <w:rFonts w:ascii="游ゴシック" w:hAnsi="游ゴシック" w:eastAsia="游ゴシック" w:cs="游ゴシック"/>
          <w:b/>
          <w:color w:val="16314F"/>
          <w:sz w:val="22"/>
        </w:rPr>
        <w:t xml:space="preserve">5. </w:t>
      </w:r>
      <w:r>
        <w:rPr>
          <w:rFonts w:ascii="游ゴシック" w:hAnsi="游ゴシック" w:eastAsia="游ゴシック" w:cs="游ゴシック"/>
          <w:b/>
          <w:color w:val="243B53"/>
          <w:sz w:val="21"/>
        </w:rPr>
        <w:t xml:space="preserve">独断で動かず、適切な窓口へ　</w:t>
      </w:r>
      <w:r>
        <w:rPr>
          <w:rFonts w:ascii="游ゴシック" w:hAnsi="游ゴシック" w:eastAsia="游ゴシック" w:cs="游ゴシック"/>
          <w:b w:val="0"/>
          <w:color w:val="5B6670"/>
          <w:sz w:val="19"/>
        </w:rPr>
        <w:t>違法かどうかの最終判断は、受けた側・専門部門が行う。</w:t>
      </w:r>
    </w:p>
    <w:p>
      <w:pPr>
        <w:keepNext/>
        <w:keepLines/>
        <w:spacing w:before="200" w:after="80" w:line="269" w:lineRule="auto"/>
      </w:pPr>
      <w:r>
        <w:rPr>
          <w:rFonts w:ascii="游ゴシック" w:hAnsi="游ゴシック" w:eastAsia="游ゴシック" w:cs="游ゴシック"/>
          <w:b/>
          <w:color w:val="16314F"/>
          <w:sz w:val="28"/>
        </w:rPr>
        <w:t>6　迷ったときの相談先</w:t>
      </w:r>
    </w:p>
    <w:p>
      <w:pPr>
        <w:pBdr>
          <w:bottom w:val="single" w:sz="6" w:space="1" w:color="D7DDE3"/>
        </w:pBdr>
        <w:spacing w:after="120" w:before="0"/>
      </w:pPr>
    </w:p>
    <w:p>
      <w:pPr>
        <w:spacing w:before="0" w:after="100" w:line="283" w:lineRule="auto"/>
      </w:pPr>
      <w:r>
        <w:rPr>
          <w:rFonts w:ascii="游ゴシック" w:hAnsi="游ゴシック" w:eastAsia="游ゴシック" w:cs="游ゴシック"/>
          <w:b w:val="0"/>
          <w:color w:val="5B6670"/>
          <w:sz w:val="19"/>
        </w:rPr>
        <w:t>下の欄に、自社の連絡先を記入して保管してください。（このハンドブックの配布前に、各社で記入してから配布することを想定しています。）</w:t>
      </w:r>
    </w:p>
    <w:tbl>
      <w:tblPr>
        <w:tblW w:type="dxa" w:w="9637"/>
        <w:tblBorders>
          <w:top w:val="none"/>
          <w:start w:val="none"/>
          <w:bottom w:val="none"/>
          <w:end w:val="none"/>
          <w:insideH w:val="none"/>
          <w:insideV w:val="none"/>
        </w:tblBorders>
        <w:tblLayout w:type="fixed"/>
        <w:tblLook w:firstColumn="1" w:firstRow="1" w:lastColumn="0" w:lastRow="0" w:noHBand="0" w:noVBand="1" w:val="04A0"/>
      </w:tblPr>
      <w:tblGrid>
        <w:gridCol w:w="4819"/>
        <w:gridCol w:w="4819"/>
      </w:tblGrid>
      <w:tr>
        <w:tc>
          <w:tcPr>
            <w:tcW w:type="dxa" w:w="3628"/>
            <w:tcMar>
              <w:top w:w="40" w:type="dxa"/>
              <w:start w:w="0" w:type="dxa"/>
              <w:bottom w:w="40" w:type="dxa"/>
              <w:end w:w="40" w:type="dxa"/>
            </w:tcMar>
          </w:tcPr>
          <w:p>
            <w:pPr>
              <w:spacing w:after="40"/>
            </w:pPr>
            <w:r/>
            <w:r>
              <w:rPr>
                <w:rFonts w:ascii="游ゴシック" w:hAnsi="游ゴシック" w:eastAsia="游ゴシック" w:cs="游ゴシック"/>
                <w:b/>
                <w:color w:val="243B53"/>
                <w:sz w:val="20"/>
              </w:rPr>
              <w:t>通常報告（直属の上司・主管部門）：</w:t>
            </w:r>
          </w:p>
        </w:tc>
        <w:tc>
          <w:tcPr>
            <w:tcW w:type="dxa" w:w="6009"/>
            <w:tcMar>
              <w:top w:w="40" w:type="dxa"/>
              <w:start w:w="0" w:type="dxa"/>
              <w:bottom w:w="40" w:type="dxa"/>
              <w:end w:w="0" w:type="dxa"/>
            </w:tcMar>
          </w:tcPr>
          <w:p>
            <w:pPr>
              <w:pBdr>
                <w:bottom w:val="single" w:sz="6" w:space="2" w:color="9AA4AE"/>
              </w:pBdr>
              <w:spacing w:after="40"/>
            </w:pPr>
            <w:r/>
            <w:r>
              <w:rPr>
                <w:rFonts w:ascii="游ゴシック" w:hAnsi="游ゴシック" w:eastAsia="游ゴシック" w:cs="游ゴシック"/>
                <w:sz w:val="20"/>
              </w:rPr>
              <w:t xml:space="preserve">　</w:t>
            </w:r>
          </w:p>
        </w:tc>
      </w:tr>
    </w:tbl>
    <w:tbl>
      <w:tblPr>
        <w:tblW w:type="dxa" w:w="9637"/>
        <w:tblBorders>
          <w:top w:val="none"/>
          <w:start w:val="none"/>
          <w:bottom w:val="none"/>
          <w:end w:val="none"/>
          <w:insideH w:val="none"/>
          <w:insideV w:val="none"/>
        </w:tblBorders>
        <w:tblLayout w:type="fixed"/>
        <w:tblLook w:firstColumn="1" w:firstRow="1" w:lastColumn="0" w:lastRow="0" w:noHBand="0" w:noVBand="1" w:val="04A0"/>
      </w:tblPr>
      <w:tblGrid>
        <w:gridCol w:w="4819"/>
        <w:gridCol w:w="4819"/>
      </w:tblGrid>
      <w:tr>
        <w:tc>
          <w:tcPr>
            <w:tcW w:type="dxa" w:w="3628"/>
            <w:tcMar>
              <w:top w:w="40" w:type="dxa"/>
              <w:start w:w="0" w:type="dxa"/>
              <w:bottom w:w="40" w:type="dxa"/>
              <w:end w:w="40" w:type="dxa"/>
            </w:tcMar>
          </w:tcPr>
          <w:p>
            <w:pPr>
              <w:spacing w:after="40"/>
            </w:pPr>
            <w:r/>
            <w:r>
              <w:rPr>
                <w:rFonts w:ascii="游ゴシック" w:hAnsi="游ゴシック" w:eastAsia="游ゴシック" w:cs="游ゴシック"/>
                <w:b/>
                <w:color w:val="243B53"/>
                <w:sz w:val="20"/>
              </w:rPr>
              <w:t>個人情報・情報セキュリティの窓口：</w:t>
            </w:r>
          </w:p>
        </w:tc>
        <w:tc>
          <w:tcPr>
            <w:tcW w:type="dxa" w:w="6009"/>
            <w:tcMar>
              <w:top w:w="40" w:type="dxa"/>
              <w:start w:w="0" w:type="dxa"/>
              <w:bottom w:w="40" w:type="dxa"/>
              <w:end w:w="0" w:type="dxa"/>
            </w:tcMar>
          </w:tcPr>
          <w:p>
            <w:pPr>
              <w:pBdr>
                <w:bottom w:val="single" w:sz="6" w:space="2" w:color="9AA4AE"/>
              </w:pBdr>
              <w:spacing w:after="40"/>
            </w:pPr>
            <w:r/>
            <w:r>
              <w:rPr>
                <w:rFonts w:ascii="游ゴシック" w:hAnsi="游ゴシック" w:eastAsia="游ゴシック" w:cs="游ゴシック"/>
                <w:sz w:val="20"/>
              </w:rPr>
              <w:t xml:space="preserve">　</w:t>
            </w:r>
          </w:p>
        </w:tc>
      </w:tr>
    </w:tbl>
    <w:tbl>
      <w:tblPr>
        <w:tblW w:type="dxa" w:w="9637"/>
        <w:tblBorders>
          <w:top w:val="none"/>
          <w:start w:val="none"/>
          <w:bottom w:val="none"/>
          <w:end w:val="none"/>
          <w:insideH w:val="none"/>
          <w:insideV w:val="none"/>
        </w:tblBorders>
        <w:tblLayout w:type="fixed"/>
        <w:tblLook w:firstColumn="1" w:firstRow="1" w:lastColumn="0" w:lastRow="0" w:noHBand="0" w:noVBand="1" w:val="04A0"/>
      </w:tblPr>
      <w:tblGrid>
        <w:gridCol w:w="4819"/>
        <w:gridCol w:w="4819"/>
      </w:tblGrid>
      <w:tr>
        <w:tc>
          <w:tcPr>
            <w:tcW w:type="dxa" w:w="3628"/>
            <w:tcMar>
              <w:top w:w="40" w:type="dxa"/>
              <w:start w:w="0" w:type="dxa"/>
              <w:bottom w:w="40" w:type="dxa"/>
              <w:end w:w="40" w:type="dxa"/>
            </w:tcMar>
          </w:tcPr>
          <w:p>
            <w:pPr>
              <w:spacing w:after="40"/>
            </w:pPr>
            <w:r/>
            <w:r>
              <w:rPr>
                <w:rFonts w:ascii="游ゴシック" w:hAnsi="游ゴシック" w:eastAsia="游ゴシック" w:cs="游ゴシック"/>
                <w:b/>
                <w:color w:val="243B53"/>
                <w:sz w:val="20"/>
              </w:rPr>
              <w:t>内部通報窓口（社内）：</w:t>
            </w:r>
          </w:p>
        </w:tc>
        <w:tc>
          <w:tcPr>
            <w:tcW w:type="dxa" w:w="6009"/>
            <w:tcMar>
              <w:top w:w="40" w:type="dxa"/>
              <w:start w:w="0" w:type="dxa"/>
              <w:bottom w:w="40" w:type="dxa"/>
              <w:end w:w="0" w:type="dxa"/>
            </w:tcMar>
          </w:tcPr>
          <w:p>
            <w:pPr>
              <w:pBdr>
                <w:bottom w:val="single" w:sz="6" w:space="2" w:color="9AA4AE"/>
              </w:pBdr>
              <w:spacing w:after="40"/>
            </w:pPr>
            <w:r/>
            <w:r>
              <w:rPr>
                <w:rFonts w:ascii="游ゴシック" w:hAnsi="游ゴシック" w:eastAsia="游ゴシック" w:cs="游ゴシック"/>
                <w:sz w:val="20"/>
              </w:rPr>
              <w:t xml:space="preserve">　</w:t>
            </w:r>
          </w:p>
        </w:tc>
      </w:tr>
    </w:tbl>
    <w:tbl>
      <w:tblPr>
        <w:tblW w:type="dxa" w:w="9637"/>
        <w:tblBorders>
          <w:top w:val="none"/>
          <w:start w:val="none"/>
          <w:bottom w:val="none"/>
          <w:end w:val="none"/>
          <w:insideH w:val="none"/>
          <w:insideV w:val="none"/>
        </w:tblBorders>
        <w:tblLayout w:type="fixed"/>
        <w:tblLook w:firstColumn="1" w:firstRow="1" w:lastColumn="0" w:lastRow="0" w:noHBand="0" w:noVBand="1" w:val="04A0"/>
      </w:tblPr>
      <w:tblGrid>
        <w:gridCol w:w="4819"/>
        <w:gridCol w:w="4819"/>
      </w:tblGrid>
      <w:tr>
        <w:tc>
          <w:tcPr>
            <w:tcW w:type="dxa" w:w="3628"/>
            <w:tcMar>
              <w:top w:w="40" w:type="dxa"/>
              <w:start w:w="0" w:type="dxa"/>
              <w:bottom w:w="40" w:type="dxa"/>
              <w:end w:w="40" w:type="dxa"/>
            </w:tcMar>
          </w:tcPr>
          <w:p>
            <w:pPr>
              <w:spacing w:after="40"/>
            </w:pPr>
            <w:r/>
            <w:r>
              <w:rPr>
                <w:rFonts w:ascii="游ゴシック" w:hAnsi="游ゴシック" w:eastAsia="游ゴシック" w:cs="游ゴシック"/>
                <w:b/>
                <w:color w:val="243B53"/>
                <w:sz w:val="20"/>
              </w:rPr>
              <w:t>内部通報窓口（社外・外部窓口がある場合）：</w:t>
            </w:r>
          </w:p>
        </w:tc>
        <w:tc>
          <w:tcPr>
            <w:tcW w:type="dxa" w:w="6009"/>
            <w:tcMar>
              <w:top w:w="40" w:type="dxa"/>
              <w:start w:w="0" w:type="dxa"/>
              <w:bottom w:w="40" w:type="dxa"/>
              <w:end w:w="0" w:type="dxa"/>
            </w:tcMar>
          </w:tcPr>
          <w:p>
            <w:pPr>
              <w:pBdr>
                <w:bottom w:val="single" w:sz="6" w:space="2" w:color="9AA4AE"/>
              </w:pBdr>
              <w:spacing w:after="40"/>
            </w:pPr>
            <w:r/>
            <w:r>
              <w:rPr>
                <w:rFonts w:ascii="游ゴシック" w:hAnsi="游ゴシック" w:eastAsia="游ゴシック" w:cs="游ゴシック"/>
                <w:sz w:val="20"/>
              </w:rPr>
              <w:t xml:space="preserve">　</w:t>
            </w:r>
          </w:p>
        </w:tc>
      </w:tr>
    </w:tbl>
    <w:tbl>
      <w:tblPr>
        <w:tblW w:type="dxa" w:w="9637"/>
        <w:tblBorders>
          <w:top w:val="none"/>
          <w:start w:val="none"/>
          <w:bottom w:val="none"/>
          <w:end w:val="none"/>
          <w:insideH w:val="none"/>
          <w:insideV w:val="none"/>
        </w:tblBorders>
        <w:tblLayout w:type="fixed"/>
        <w:tblLook w:firstColumn="1" w:firstRow="1" w:lastColumn="0" w:lastRow="0" w:noHBand="0" w:noVBand="1" w:val="04A0"/>
      </w:tblPr>
      <w:tblGrid>
        <w:gridCol w:w="4819"/>
        <w:gridCol w:w="4819"/>
      </w:tblGrid>
      <w:tr>
        <w:tc>
          <w:tcPr>
            <w:tcW w:type="dxa" w:w="3628"/>
            <w:tcMar>
              <w:top w:w="40" w:type="dxa"/>
              <w:start w:w="0" w:type="dxa"/>
              <w:bottom w:w="40" w:type="dxa"/>
              <w:end w:w="40" w:type="dxa"/>
            </w:tcMar>
          </w:tcPr>
          <w:p>
            <w:pPr>
              <w:spacing w:after="40"/>
            </w:pPr>
            <w:r/>
            <w:r>
              <w:rPr>
                <w:rFonts w:ascii="游ゴシック" w:hAnsi="游ゴシック" w:eastAsia="游ゴシック" w:cs="游ゴシック"/>
                <w:b/>
                <w:color w:val="243B53"/>
                <w:sz w:val="20"/>
              </w:rPr>
              <w:t>緊急連絡先（事故・災害など）：</w:t>
            </w:r>
          </w:p>
        </w:tc>
        <w:tc>
          <w:tcPr>
            <w:tcW w:type="dxa" w:w="6009"/>
            <w:tcMar>
              <w:top w:w="40" w:type="dxa"/>
              <w:start w:w="0" w:type="dxa"/>
              <w:bottom w:w="40" w:type="dxa"/>
              <w:end w:w="0" w:type="dxa"/>
            </w:tcMar>
          </w:tcPr>
          <w:p>
            <w:pPr>
              <w:pBdr>
                <w:bottom w:val="single" w:sz="6" w:space="2" w:color="9AA4AE"/>
              </w:pBdr>
              <w:spacing w:after="40"/>
            </w:pPr>
            <w:r/>
            <w:r>
              <w:rPr>
                <w:rFonts w:ascii="游ゴシック" w:hAnsi="游ゴシック" w:eastAsia="游ゴシック" w:cs="游ゴシック"/>
                <w:sz w:val="20"/>
              </w:rPr>
              <w:t xml:space="preserve">　</w:t>
            </w:r>
          </w:p>
        </w:tc>
      </w:tr>
    </w:tbl>
    <w:tbl>
      <w:tblPr>
        <w:tblW w:type="dxa" w:w="9637"/>
        <w:tblBorders>
          <w:top w:val="none"/>
          <w:start w:val="none"/>
          <w:bottom w:val="none"/>
          <w:end w:val="none"/>
          <w:insideH w:val="none"/>
          <w:insideV w:val="none"/>
        </w:tblBorders>
        <w:tblLayout w:type="fixed"/>
        <w:tblLook w:firstColumn="1" w:firstRow="1" w:lastColumn="0" w:lastRow="0" w:noHBand="0" w:noVBand="1" w:val="04A0"/>
      </w:tblPr>
      <w:tblGrid>
        <w:gridCol w:w="4819"/>
        <w:gridCol w:w="4819"/>
      </w:tblGrid>
      <w:tr>
        <w:tc>
          <w:tcPr>
            <w:tcW w:type="dxa" w:w="3628"/>
            <w:tcMar>
              <w:top w:w="40" w:type="dxa"/>
              <w:start w:w="0" w:type="dxa"/>
              <w:bottom w:w="40" w:type="dxa"/>
              <w:end w:w="40" w:type="dxa"/>
            </w:tcMar>
          </w:tcPr>
          <w:p>
            <w:pPr>
              <w:spacing w:after="40"/>
            </w:pPr>
            <w:r/>
            <w:r>
              <w:rPr>
                <w:rFonts w:ascii="游ゴシック" w:hAnsi="游ゴシック" w:eastAsia="游ゴシック" w:cs="游ゴシック"/>
                <w:b/>
                <w:color w:val="243B53"/>
                <w:sz w:val="20"/>
              </w:rPr>
              <w:t>コンプライアンス／法務の相談先：</w:t>
            </w:r>
          </w:p>
        </w:tc>
        <w:tc>
          <w:tcPr>
            <w:tcW w:type="dxa" w:w="6009"/>
            <w:tcMar>
              <w:top w:w="40" w:type="dxa"/>
              <w:start w:w="0" w:type="dxa"/>
              <w:bottom w:w="40" w:type="dxa"/>
              <w:end w:w="0" w:type="dxa"/>
            </w:tcMar>
          </w:tcPr>
          <w:p>
            <w:pPr>
              <w:pBdr>
                <w:bottom w:val="single" w:sz="6" w:space="2" w:color="9AA4AE"/>
              </w:pBdr>
              <w:spacing w:after="40"/>
            </w:pPr>
            <w:r/>
            <w:r>
              <w:rPr>
                <w:rFonts w:ascii="游ゴシック" w:hAnsi="游ゴシック" w:eastAsia="游ゴシック" w:cs="游ゴシック"/>
                <w:sz w:val="20"/>
              </w:rPr>
              <w:t xml:space="preserve">　</w:t>
            </w:r>
          </w:p>
        </w:tc>
      </w:tr>
    </w:tbl>
    <w:p>
      <w:pPr>
        <w:spacing w:after="0" w:before="80"/>
      </w:pPr>
    </w:p>
    <w:tbl>
      <w:tblPr>
        <w:tblW w:type="dxa" w:w="9637"/>
        <w:jc w:val="center"/>
        <w:tblBorders>
          <w:top w:val="none"/>
          <w:start w:val="none"/>
          <w:bottom w:val="none"/>
          <w:end w:val="none"/>
          <w:insideH w:val="none"/>
          <w:insideV w:val="none"/>
        </w:tblBorders>
        <w:tblLayout w:type="fixed"/>
        <w:tblLook w:firstColumn="1" w:firstRow="1" w:lastColumn="0" w:lastRow="0" w:noHBand="0" w:noVBand="1" w:val="04A0"/>
      </w:tblPr>
      <w:tblGrid>
        <w:gridCol w:w="9638"/>
      </w:tblGrid>
      <w:tr>
        <w:tc>
          <w:tcPr>
            <w:tcW w:type="dxa" w:w="9637"/>
            <w:tcBorders>
              <w:top w:val="single" w:sz="4" w:space="0" w:color="D7DDE3"/>
              <w:start w:val="single" w:sz="30" w:space="0" w:color="D7DDE3"/>
              <w:bottom w:val="single" w:sz="4" w:space="0" w:color="D7DDE3"/>
              <w:end w:val="single" w:sz="4" w:space="0" w:color="D7DDE3"/>
            </w:tcBorders>
            <w:shd w:val="clear" w:color="auto" w:fill="F4F6F9"/>
            <w:tcMar>
              <w:top w:w="90" w:type="dxa"/>
              <w:start w:w="150" w:type="dxa"/>
              <w:bottom w:w="90" w:type="dxa"/>
              <w:end w:w="150" w:type="dxa"/>
            </w:tcMar>
          </w:tcPr>
          <w:p>
            <w:pPr>
              <w:spacing w:after="40" w:before="0" w:line="278" w:lineRule="auto"/>
            </w:pPr>
            <w:r>
              <w:rPr>
                <w:rFonts w:ascii="游ゴシック" w:hAnsi="游ゴシック" w:eastAsia="游ゴシック" w:cs="游ゴシック"/>
                <w:b w:val="0"/>
                <w:color w:val="5B6670"/>
                <w:sz w:val="18"/>
              </w:rPr>
              <w:t>※ このハンドブックは、社内研修のための一般的な整理であり、個別の事案に対する法的助言ではありません。実際の対応にあたっては、自社の規程と窓口に従い、必要に応じて担当部門・専門家に相談してください。</w:t>
            </w:r>
          </w:p>
        </w:tc>
      </w:tr>
    </w:tbl>
    <w:sectPr w:rsidR="00FC693F" w:rsidRPr="0006063C" w:rsidSect="00034616">
      <w:footerReference w:type="default" r:id="rId9"/>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Bdr>
        <w:top w:val="single" w:sz="4" w:space="4" w:color="D7DDE3"/>
      </w:pBdr>
      <w:tabs>
        <w:tab w:pos="9638" w:val="right"/>
      </w:tabs>
    </w:pPr>
    <w:r>
      <w:rPr>
        <w:rFonts w:ascii="游ゴシック" w:hAnsi="游ゴシック" w:eastAsia="游ゴシック" w:cs="游ゴシック"/>
        <w:color w:val="5B6670"/>
        <w:sz w:val="16"/>
      </w:rPr>
      <w:t>Legal GPT ｜ 第1回 コンプライアンス基礎研修 ｜ 配布資料</w:t>
    </w:r>
    <w:r>
      <w:rPr>
        <w:rFonts w:ascii="游ゴシック" w:hAnsi="游ゴシック" w:eastAsia="游ゴシック" w:cs="游ゴシック"/>
        <w:color w:val="5B6670"/>
        <w:sz w:val="16"/>
      </w:rPr>
      <w:tab/>
    </w:r>
    <w:fldSimple w:instr=" PAGE ">
      <w:r>
        <w:rPr>
          <w:rFonts w:ascii="游ゴシック" w:hAnsi="游ゴシック" w:eastAsia="游ゴシック"/>
          <w:sz w:val="16"/>
          <w:color w:val="5B6670"/>
        </w:rPr>
        <w:t>1</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83" w:lineRule="auto"/>
    </w:pPr>
    <w:rPr>
      <w:rFonts w:ascii="游ゴシック" w:hAnsi="游ゴシック" w:eastAsia="游ゴシック" w:cs="游ゴシック"/>
      <w:color w:val="263238"/>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