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 w:before="0"/>
      </w:pPr>
      <w:r>
        <w:rPr>
          <w:rFonts w:ascii="Yu Gothic" w:eastAsia="Yu Gothic" w:hAnsi="Yu Gothic"/>
          <w:b/>
          <w:bCs/>
          <w:i w:val="false"/>
          <w:iCs w:val="false"/>
          <w:color w:val="9A6F1E"/>
          <w:sz w:val="18"/>
          <w:szCs w:val="18"/>
        </w:rPr>
        <w:t xml:space="preserve">法務・総務のための社内研修資料20選　第3回</w:t>
      </w:r>
    </w:p>
    <w:p>
      <w:pPr>
        <w:spacing w:after="40" w:before="0"/>
      </w:pPr>
      <w:r>
        <w:rPr>
          <w:rFonts w:ascii="Yu Gothic" w:eastAsia="Yu Gothic" w:hAnsi="Yu Gothic"/>
          <w:b/>
          <w:bCs/>
          <w:i w:val="false"/>
          <w:iCs w:val="false"/>
          <w:color w:val="16314F"/>
          <w:sz w:val="30"/>
          <w:szCs w:val="30"/>
        </w:rPr>
        <w:t xml:space="preserve">研修 企画・運営ガイド（指導者用）</w:t>
      </w:r>
    </w:p>
    <w:p>
      <w:pPr>
        <w:spacing w:after="80" w:before="0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43B53"/>
          <w:sz w:val="21"/>
          <w:szCs w:val="21"/>
        </w:rPr>
        <w:t xml:space="preserve">目的・対象・事前準備・当日の進行・資料構成・実施後フォロー・版管理</w:t>
      </w:r>
    </w:p>
    <w:tbl>
      <w:tblPr>
        <w:tblW w:type="dxa" w:w="9746"/>
        <w:tblBorders>
          <w:top w:val="single" w:color="243B53" w:sz="4"/>
          <w:left w:val="single" w:color="243B53" w:sz="12"/>
          <w:bottom w:val="single" w:color="243B53" w:sz="4"/>
          <w:right w:val="single" w:color="243B53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shd w:fill="E9EFF4" w:val="clear"/>
            <w:tcMar>
              <w:top w:type="dxa" w:w="90"/>
              <w:left w:type="dxa" w:w="160"/>
              <w:bottom w:type="dxa" w:w="90"/>
              <w:right w:type="dxa" w:w="140"/>
            </w:tcMar>
          </w:tcPr>
          <w:p>
            <w:pPr>
              <w:spacing w:after="3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8"/>
                <w:szCs w:val="18"/>
              </w:rPr>
              <w:t xml:space="preserve">法令・制度基準日：2026年6月18日　／　改正法（令和7年法律第62号）は2026年12月1日施行</w:t>
            </w:r>
          </w:p>
          <w:p>
            <w:pPr>
              <w:spacing w:after="3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8"/>
                <w:szCs w:val="18"/>
              </w:rPr>
              <w:t xml:space="preserve">本ガイドは、本研修パッケージを用いた研修運営の参考です。各社の実情・規程に合わせて調整してください。</w:t>
            </w:r>
          </w:p>
        </w:tc>
      </w:tr>
    </w:tbl>
    <w:tbl>
      <w:tblPr>
        <w:tblW w:type="dxa" w:w="9746"/>
        <w:tblBorders>
          <w:top w:val="single" w:color="243B53" w:sz="4"/>
          <w:left w:val="single" w:color="243B53" w:sz="12"/>
          <w:bottom w:val="single" w:color="243B53" w:sz="4"/>
          <w:right w:val="single" w:color="243B53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shd w:fill="E9EFF4" w:val="clear"/>
            <w:tcMar>
              <w:top w:type="dxa" w:w="90"/>
              <w:left w:type="dxa" w:w="160"/>
              <w:bottom w:type="dxa" w:w="90"/>
              <w:right w:type="dxa" w:w="140"/>
            </w:tcMar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0"/>
                <w:szCs w:val="20"/>
              </w:rPr>
              <w:t xml:space="preserve">本ガイドは、本パッケージ（研修スライド・ハンドブック・実務書式・確認テスト等）を使って、内部通報窓口担当者・公益通報対応業務従事者向けの研修を企画・運営するためのものです。</w:t>
            </w:r>
          </w:p>
        </w:tc>
      </w:tr>
    </w:tbl>
    <w:p>
      <w:pPr>
        <w:pStyle w:val="Heading2"/>
        <w:pBdr>
          <w:bottom w:val="single" w:color="9A6F1E" w:sz="6" w:space="3"/>
        </w:pBdr>
        <w:spacing w:after="90" w:before="220"/>
      </w:pPr>
      <w:r>
        <w:rPr>
          <w:rFonts w:ascii="Yu Gothic" w:eastAsia="Yu Gothic" w:hAnsi="Yu Gothic"/>
          <w:b/>
          <w:bCs/>
          <w:color w:val="16314F"/>
          <w:sz w:val="24"/>
          <w:szCs w:val="24"/>
        </w:rPr>
        <w:t xml:space="preserve">1. 研修の目的</w:t>
      </w:r>
    </w:p>
    <w:p>
      <w:pPr>
        <w:spacing w:after="8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1"/>
          <w:szCs w:val="21"/>
        </w:rPr>
        <w:t xml:space="preserve">通報・相談を受けた窓口担当者・従事者が、受付から記録管理までの一連の対応を、迷わず・適切に進められるようにすることが目的です。法令上の最低限と、運用上の望ましい工夫を区別して理解し、迷ったときに一人で抱えずエスカレーションできる状態を目指します。</w:t>
      </w:r>
    </w:p>
    <w:p>
      <w:pPr>
        <w:pStyle w:val="Heading2"/>
        <w:pBdr>
          <w:bottom w:val="single" w:color="9A6F1E" w:sz="6" w:space="3"/>
        </w:pBdr>
        <w:spacing w:after="90" w:before="220"/>
      </w:pPr>
      <w:r>
        <w:rPr>
          <w:rFonts w:ascii="Yu Gothic" w:eastAsia="Yu Gothic" w:hAnsi="Yu Gothic"/>
          <w:b/>
          <w:bCs/>
          <w:color w:val="16314F"/>
          <w:sz w:val="24"/>
          <w:szCs w:val="24"/>
        </w:rPr>
        <w:t xml:space="preserve">2. 対象者</w:t>
      </w:r>
    </w:p>
    <w:p>
      <w:pPr>
        <w:pStyle w:val="ListParagraph"/>
        <w:numPr>
          <w:ilvl w:val="0"/>
          <w:numId w:val="2"/>
        </w:numPr>
        <w:spacing w:after="60" w:before="10" w:line="268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1"/>
          <w:szCs w:val="21"/>
        </w:rPr>
        <w:t xml:space="preserve">内部通報窓口の担当者・受付担当者</w:t>
      </w:r>
    </w:p>
    <w:p>
      <w:pPr>
        <w:pStyle w:val="ListParagraph"/>
        <w:numPr>
          <w:ilvl w:val="0"/>
          <w:numId w:val="2"/>
        </w:numPr>
        <w:spacing w:after="60" w:before="10" w:line="268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1"/>
          <w:szCs w:val="21"/>
        </w:rPr>
        <w:t xml:space="preserve">公益通報対応業務従事者（受付・調査・是正に関与する者）</w:t>
      </w:r>
    </w:p>
    <w:p>
      <w:pPr>
        <w:pStyle w:val="ListParagraph"/>
        <w:numPr>
          <w:ilvl w:val="0"/>
          <w:numId w:val="2"/>
        </w:numPr>
        <w:spacing w:after="60" w:before="10" w:line="268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1"/>
          <w:szCs w:val="21"/>
        </w:rPr>
        <w:t xml:space="preserve">法務・コンプライアンス・人事労務・内部監査・リスク管理の担当者</w:t>
      </w:r>
    </w:p>
    <w:p>
      <w:pPr>
        <w:pStyle w:val="ListParagraph"/>
        <w:numPr>
          <w:ilvl w:val="0"/>
          <w:numId w:val="2"/>
        </w:numPr>
        <w:spacing w:after="60" w:before="10" w:line="268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1"/>
          <w:szCs w:val="21"/>
        </w:rPr>
        <w:t xml:space="preserve">社外窓口を担う弁護士・委託先（必要に応じて）</w:t>
      </w:r>
    </w:p>
    <w:p>
      <w:pPr>
        <w:pStyle w:val="ListParagraph"/>
        <w:numPr>
          <w:ilvl w:val="0"/>
          <w:numId w:val="2"/>
        </w:numPr>
        <w:spacing w:after="60" w:before="10" w:line="268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1"/>
          <w:szCs w:val="21"/>
        </w:rPr>
        <w:t xml:space="preserve">通報対応を監督する立場の監査役等・社外取締役（概要把握として）</w:t>
      </w:r>
    </w:p>
    <w:p>
      <w:pPr>
        <w:pStyle w:val="Heading2"/>
        <w:pBdr>
          <w:bottom w:val="single" w:color="9A6F1E" w:sz="6" w:space="3"/>
        </w:pBdr>
        <w:spacing w:after="90" w:before="220"/>
      </w:pPr>
      <w:r>
        <w:rPr>
          <w:rFonts w:ascii="Yu Gothic" w:eastAsia="Yu Gothic" w:hAnsi="Yu Gothic"/>
          <w:b/>
          <w:bCs/>
          <w:color w:val="16314F"/>
          <w:sz w:val="24"/>
          <w:szCs w:val="24"/>
        </w:rPr>
        <w:t xml:space="preserve">3. 第2話との違い（位置づけ）</w:t>
      </w:r>
    </w:p>
    <w:p>
      <w:pPr>
        <w:spacing w:after="8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1"/>
          <w:szCs w:val="21"/>
        </w:rPr>
        <w:t xml:space="preserve">本シリーズの第2話（公益通報者保護法・全社員向け）は、『どこに・どう声を上げるか』を全社員が理解することを狙いとしています。本研修（第3話）は、その通報を『受けてどう動くか』に焦点を当てた、窓口担当者・従事者向けの実務研修です。第2話を受講済みであることを前提にできますが、必須ではありません。</w:t>
      </w:r>
    </w:p>
    <w:p>
      <w:pPr>
        <w:pStyle w:val="Heading2"/>
        <w:pBdr>
          <w:bottom w:val="single" w:color="9A6F1E" w:sz="6" w:space="3"/>
        </w:pBdr>
        <w:spacing w:after="90" w:before="220"/>
      </w:pPr>
      <w:r>
        <w:rPr>
          <w:rFonts w:ascii="Yu Gothic" w:eastAsia="Yu Gothic" w:hAnsi="Yu Gothic"/>
          <w:b/>
          <w:bCs/>
          <w:color w:val="16314F"/>
          <w:sz w:val="24"/>
          <w:szCs w:val="24"/>
        </w:rPr>
        <w:t xml:space="preserve">4. 事前準備</w:t>
      </w:r>
    </w:p>
    <w:p>
      <w:pPr>
        <w:pStyle w:val="ListParagraph"/>
        <w:numPr>
          <w:ilvl w:val="0"/>
          <w:numId w:val="3"/>
        </w:numPr>
        <w:spacing w:after="60" w:before="10" w:line="268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1"/>
          <w:szCs w:val="21"/>
        </w:rPr>
        <w:t xml:space="preserve">自社の内部通報規程を確認し、本資料の各書式・フローと突き合わせる（受付ルート、従事者の指定方法、通知の目安期間、エスカレーション先など）。</w:t>
      </w:r>
    </w:p>
    <w:p>
      <w:pPr>
        <w:pStyle w:val="ListParagraph"/>
        <w:numPr>
          <w:ilvl w:val="0"/>
          <w:numId w:val="3"/>
        </w:numPr>
        <w:spacing w:after="60" w:before="10" w:line="268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1"/>
          <w:szCs w:val="21"/>
        </w:rPr>
        <w:t xml:space="preserve">各書式（受付票・調査計画書・台帳・通知テンプレート等）を、自社の様式・用語に合わせて調整する。会社名・窓口名・連絡先・記入欄を自社仕様にする。</w:t>
      </w:r>
    </w:p>
    <w:p>
      <w:pPr>
        <w:pStyle w:val="ListParagraph"/>
        <w:numPr>
          <w:ilvl w:val="0"/>
          <w:numId w:val="3"/>
        </w:numPr>
        <w:spacing w:after="60" w:before="10" w:line="268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1"/>
          <w:szCs w:val="21"/>
        </w:rPr>
        <w:t xml:space="preserve">講師は、消費者庁の最新の指針・指針解説を確認し、改正（2026年12月1日施行）の内容と現行法の区別を把握しておく。</w:t>
      </w:r>
    </w:p>
    <w:p>
      <w:pPr>
        <w:pStyle w:val="ListParagraph"/>
        <w:numPr>
          <w:ilvl w:val="0"/>
          <w:numId w:val="3"/>
        </w:numPr>
        <w:spacing w:after="60" w:before="10" w:line="268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1"/>
          <w:szCs w:val="21"/>
        </w:rPr>
        <w:t xml:space="preserve">配布物を準備する（スライド投影用、ハンドブック、実務書式パック、確認テスト。解答・解説集は講師用）。</w:t>
      </w:r>
    </w:p>
    <w:p>
      <w:pPr>
        <w:pStyle w:val="ListParagraph"/>
        <w:numPr>
          <w:ilvl w:val="0"/>
          <w:numId w:val="3"/>
        </w:numPr>
        <w:spacing w:after="60" w:before="10" w:line="268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1"/>
          <w:szCs w:val="21"/>
        </w:rPr>
        <w:t xml:space="preserve">会場・機材（投影、グループ討議を行う場合は机配置）を準備する。</w:t>
      </w:r>
    </w:p>
    <w:tbl>
      <w:tblPr>
        <w:tblW w:type="dxa" w:w="9746"/>
        <w:tblBorders>
          <w:top w:val="single" w:color="243B53" w:sz="4"/>
          <w:left w:val="single" w:color="243B53" w:sz="12"/>
          <w:bottom w:val="single" w:color="243B53" w:sz="4"/>
          <w:right w:val="single" w:color="243B53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shd w:fill="E9EFF4" w:val="clear"/>
            <w:tcMar>
              <w:top w:type="dxa" w:w="90"/>
              <w:left w:type="dxa" w:w="160"/>
              <w:bottom w:type="dxa" w:w="90"/>
              <w:right w:type="dxa" w:w="140"/>
            </w:tcMar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19"/>
                <w:szCs w:val="19"/>
              </w:rPr>
              <w:t xml:space="preserve">自社化のヒント：</w:t>
            </w: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本資料は汎用の参考様式です。会社形態により機関設計（監査役・監査等委員会・監査委員会等）が異なるため、幹部関係案件の独立ルートや、通知の目安期間は、必ず自社規程に置き換えてください。</w:t>
            </w:r>
          </w:p>
        </w:tc>
      </w:tr>
    </w:tbl>
    <w:p>
      <w:pPr>
        <w:pStyle w:val="Heading2"/>
        <w:pBdr>
          <w:bottom w:val="single" w:color="9A6F1E" w:sz="6" w:space="3"/>
        </w:pBdr>
        <w:spacing w:after="90" w:before="220"/>
      </w:pPr>
      <w:r>
        <w:rPr>
          <w:rFonts w:ascii="Yu Gothic" w:eastAsia="Yu Gothic" w:hAnsi="Yu Gothic"/>
          <w:b/>
          <w:bCs/>
          <w:color w:val="16314F"/>
          <w:sz w:val="24"/>
          <w:szCs w:val="24"/>
        </w:rPr>
        <w:t xml:space="preserve">5. 当日の進行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標準（60〜75分）</w:t>
      </w:r>
    </w:p>
    <w:tbl>
      <w:tblPr>
        <w:tblW w:type="dxa" w:w="9746"/>
        <w:tblBorders>
          <w:top w:val="single" w:color="C7D0D8" w:sz="4"/>
          <w:left w:val="single" w:color="C7D0D8" w:sz="4"/>
          <w:bottom w:val="single" w:color="C7D0D8" w:sz="4"/>
          <w:right w:val="single" w:color="C7D0D8" w:sz="4"/>
          <w:insideH w:val="single" w:color="C7D0D8" w:sz="4"/>
          <w:insideV w:val="single" w:color="C7D0D8" w:sz="4"/>
        </w:tblBorders>
      </w:tblPr>
      <w:tblGrid>
        <w:gridCol w:w="3200"/>
        <w:gridCol w:w="4400"/>
        <w:gridCol w:w="2146"/>
      </w:tblGrid>
      <w:tr>
        <w:trPr>
          <w:tblHeader/>
        </w:trPr>
        <w:tc>
          <w:tcPr>
            <w:tcW w:type="dxa" w:w="3200"/>
            <w:shd w:fill="16314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20" w:line="276"/>
              <w:jc w:val="center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パート</w:t>
            </w:r>
          </w:p>
        </w:tc>
        <w:tc>
          <w:tcPr>
            <w:tcW w:type="dxa" w:w="4400"/>
            <w:shd w:fill="16314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20" w:line="276"/>
              <w:jc w:val="center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内容</w:t>
            </w:r>
          </w:p>
        </w:tc>
        <w:tc>
          <w:tcPr>
            <w:tcW w:type="dxa" w:w="2146"/>
            <w:shd w:fill="16314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20" w:line="276"/>
              <w:jc w:val="center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目安</w:t>
            </w:r>
          </w:p>
        </w:tc>
      </w:tr>
      <w:tr>
        <w:tc>
          <w:tcPr>
            <w:tcW w:type="dxa" w:w="32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導入</w:t>
            </w:r>
          </w:p>
        </w:tc>
        <w:tc>
          <w:tcPr>
            <w:tcW w:type="dxa" w:w="44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ゴール・導入ケース・全体像・3層の区別</w:t>
            </w:r>
          </w:p>
        </w:tc>
        <w:tc>
          <w:tcPr>
            <w:tcW w:type="dxa" w:w="21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10分</w:t>
            </w:r>
          </w:p>
        </w:tc>
      </w:tr>
      <w:tr>
        <w:tc>
          <w:tcPr>
            <w:tcW w:type="dxa" w:w="32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受付・初動</w:t>
            </w:r>
          </w:p>
        </w:tc>
        <w:tc>
          <w:tcPr>
            <w:tcW w:type="dxa" w:w="44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入口・相談か・基本姿勢・緊急性・証拠初動</w:t>
            </w:r>
          </w:p>
        </w:tc>
        <w:tc>
          <w:tcPr>
            <w:tcW w:type="dxa" w:w="2146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12分</w:t>
            </w:r>
          </w:p>
        </w:tc>
      </w:tr>
      <w:tr>
        <w:tc>
          <w:tcPr>
            <w:tcW w:type="dxa" w:w="32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通報者保護</w:t>
            </w:r>
          </w:p>
        </w:tc>
        <w:tc>
          <w:tcPr>
            <w:tcW w:type="dxa" w:w="44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意向・匿名・望まない調査・特定情報・範囲外共有</w:t>
            </w:r>
          </w:p>
        </w:tc>
        <w:tc>
          <w:tcPr>
            <w:tcW w:type="dxa" w:w="21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10分</w:t>
            </w:r>
          </w:p>
        </w:tc>
      </w:tr>
      <w:tr>
        <w:tc>
          <w:tcPr>
            <w:tcW w:type="dxa" w:w="32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従事者・利益相反</w:t>
            </w:r>
          </w:p>
        </w:tc>
        <w:tc>
          <w:tcPr>
            <w:tcW w:type="dxa" w:w="44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指定・守秘・利益相反・独立性</w:t>
            </w:r>
          </w:p>
        </w:tc>
        <w:tc>
          <w:tcPr>
            <w:tcW w:type="dxa" w:w="2146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10分</w:t>
            </w:r>
          </w:p>
        </w:tc>
      </w:tr>
      <w:tr>
        <w:tc>
          <w:tcPr>
            <w:tcW w:type="dxa" w:w="32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調査</w:t>
            </w:r>
          </w:p>
        </w:tc>
        <w:tc>
          <w:tcPr>
            <w:tcW w:type="dxa" w:w="44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要否・計画・証拠・ヒアリング・適正手続・事実認定</w:t>
            </w:r>
          </w:p>
        </w:tc>
        <w:tc>
          <w:tcPr>
            <w:tcW w:type="dxa" w:w="21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13分</w:t>
            </w:r>
          </w:p>
        </w:tc>
      </w:tr>
      <w:tr>
        <w:tc>
          <w:tcPr>
            <w:tcW w:type="dxa" w:w="32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是正・通知・記録</w:t>
            </w:r>
          </w:p>
        </w:tc>
        <w:tc>
          <w:tcPr>
            <w:tcW w:type="dxa" w:w="44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是正・機能確認・通知・不利益フォロー・記録</w:t>
            </w:r>
          </w:p>
        </w:tc>
        <w:tc>
          <w:tcPr>
            <w:tcW w:type="dxa" w:w="2146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8分</w:t>
            </w:r>
          </w:p>
        </w:tc>
      </w:tr>
      <w:tr>
        <w:tc>
          <w:tcPr>
            <w:tcW w:type="dxa" w:w="32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ケース・改正・まとめ</w:t>
            </w:r>
          </w:p>
        </w:tc>
        <w:tc>
          <w:tcPr>
            <w:tcW w:type="dxa" w:w="44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ケース1〜4・改正の要点・まとめ</w:t>
            </w:r>
          </w:p>
        </w:tc>
        <w:tc>
          <w:tcPr>
            <w:tcW w:type="dxa" w:w="21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12分</w:t>
            </w:r>
          </w:p>
        </w:tc>
      </w:tr>
      <w:tr>
        <w:tc>
          <w:tcPr>
            <w:tcW w:type="dxa" w:w="32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確認テスト</w:t>
            </w:r>
          </w:p>
        </w:tc>
        <w:tc>
          <w:tcPr>
            <w:tcW w:type="dxa" w:w="44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別冊・全12問</w:t>
            </w:r>
          </w:p>
        </w:tc>
        <w:tc>
          <w:tcPr>
            <w:tcW w:type="dxa" w:w="2146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10〜15分</w:t>
            </w:r>
          </w:p>
        </w:tc>
      </w:tr>
    </w:tbl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拡張（90分）</w:t>
      </w:r>
    </w:p>
    <w:p>
      <w:pPr>
        <w:spacing w:after="8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1"/>
          <w:szCs w:val="21"/>
        </w:rPr>
        <w:t xml:space="preserve">標準構成に、ケース討議・自社規程の読み合わせ・ロールプレイ・改正対応チェックのいずれかを加えます（詳細は講師用台本を参照）。</w:t>
      </w:r>
    </w:p>
    <w:p>
      <w:pPr>
        <w:pStyle w:val="Heading2"/>
        <w:pBdr>
          <w:bottom w:val="single" w:color="9A6F1E" w:sz="6" w:space="3"/>
        </w:pBdr>
        <w:spacing w:after="90" w:before="220"/>
      </w:pPr>
      <w:r>
        <w:rPr>
          <w:rFonts w:ascii="Yu Gothic" w:eastAsia="Yu Gothic" w:hAnsi="Yu Gothic"/>
          <w:b/>
          <w:bCs/>
          <w:color w:val="16314F"/>
          <w:sz w:val="24"/>
          <w:szCs w:val="24"/>
        </w:rPr>
        <w:t xml:space="preserve">6. 使用する資料の構成</w:t>
      </w:r>
    </w:p>
    <w:tbl>
      <w:tblPr>
        <w:tblW w:type="dxa" w:w="9746"/>
        <w:tblBorders>
          <w:top w:val="single" w:color="C7D0D8" w:sz="4"/>
          <w:left w:val="single" w:color="C7D0D8" w:sz="4"/>
          <w:bottom w:val="single" w:color="C7D0D8" w:sz="4"/>
          <w:right w:val="single" w:color="C7D0D8" w:sz="4"/>
          <w:insideH w:val="single" w:color="C7D0D8" w:sz="4"/>
          <w:insideV w:val="single" w:color="C7D0D8" w:sz="4"/>
        </w:tblBorders>
      </w:tblPr>
      <w:tblGrid>
        <w:gridCol w:w="3000"/>
        <w:gridCol w:w="4000"/>
        <w:gridCol w:w="2746"/>
      </w:tblGrid>
      <w:tr>
        <w:trPr>
          <w:tblHeader/>
        </w:trPr>
        <w:tc>
          <w:tcPr>
            <w:tcW w:type="dxa" w:w="3000"/>
            <w:shd w:fill="243B53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20" w:line="276"/>
              <w:jc w:val="center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資料</w:t>
            </w:r>
          </w:p>
        </w:tc>
        <w:tc>
          <w:tcPr>
            <w:tcW w:type="dxa" w:w="4000"/>
            <w:shd w:fill="243B53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20" w:line="276"/>
              <w:jc w:val="center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用途</w:t>
            </w:r>
          </w:p>
        </w:tc>
        <w:tc>
          <w:tcPr>
            <w:tcW w:type="dxa" w:w="2746"/>
            <w:shd w:fill="243B53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20" w:line="276"/>
              <w:jc w:val="center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主な対象</w:t>
            </w:r>
          </w:p>
        </w:tc>
      </w:tr>
      <w:tr>
        <w:tc>
          <w:tcPr>
            <w:tcW w:type="dxa" w:w="30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研修スライド（全40枚）</w:t>
            </w:r>
          </w:p>
        </w:tc>
        <w:tc>
          <w:tcPr>
            <w:tcW w:type="dxa" w:w="40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投影・説明</w:t>
            </w:r>
          </w:p>
        </w:tc>
        <w:tc>
          <w:tcPr>
            <w:tcW w:type="dxa" w:w="27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受講者全員</w:t>
            </w:r>
          </w:p>
        </w:tc>
      </w:tr>
      <w:tr>
        <w:tc>
          <w:tcPr>
            <w:tcW w:type="dxa" w:w="30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窓口担当者ハンドブック</w:t>
            </w:r>
          </w:p>
        </w:tc>
        <w:tc>
          <w:tcPr>
            <w:tcW w:type="dxa" w:w="40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実務の手引き（受付〜記録管理）</w:t>
            </w:r>
          </w:p>
        </w:tc>
        <w:tc>
          <w:tcPr>
            <w:tcW w:type="dxa" w:w="2746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受講者全員</w:t>
            </w:r>
          </w:p>
        </w:tc>
      </w:tr>
      <w:tr>
        <w:tc>
          <w:tcPr>
            <w:tcW w:type="dxa" w:w="30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受付／初動対応 書式パック</w:t>
            </w:r>
          </w:p>
        </w:tc>
        <w:tc>
          <w:tcPr>
            <w:tcW w:type="dxa" w:w="40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受付票・初動CL・利益相反確認・従事者指定</w:t>
            </w:r>
          </w:p>
        </w:tc>
        <w:tc>
          <w:tcPr>
            <w:tcW w:type="dxa" w:w="27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窓口担当者・従事者</w:t>
            </w:r>
          </w:p>
        </w:tc>
      </w:tr>
      <w:tr>
        <w:tc>
          <w:tcPr>
            <w:tcW w:type="dxa" w:w="30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調査実務 書式パック</w:t>
            </w:r>
          </w:p>
        </w:tc>
        <w:tc>
          <w:tcPr>
            <w:tcW w:type="dxa" w:w="40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調査要否・計画・台帳・ヒアリング・事実認定</w:t>
            </w:r>
          </w:p>
        </w:tc>
        <w:tc>
          <w:tcPr>
            <w:tcW w:type="dxa" w:w="2746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調査担当者・従事者</w:t>
            </w:r>
          </w:p>
        </w:tc>
      </w:tr>
      <w:tr>
        <w:tc>
          <w:tcPr>
            <w:tcW w:type="dxa" w:w="30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通知・案件終了 書式パック</w:t>
            </w:r>
          </w:p>
        </w:tc>
        <w:tc>
          <w:tcPr>
            <w:tcW w:type="dxa" w:w="40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通知テンプレート・終了記録・不利益フォロー</w:t>
            </w:r>
          </w:p>
        </w:tc>
        <w:tc>
          <w:tcPr>
            <w:tcW w:type="dxa" w:w="27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窓口担当者・従事者</w:t>
            </w:r>
          </w:p>
        </w:tc>
      </w:tr>
      <w:tr>
        <w:tc>
          <w:tcPr>
            <w:tcW w:type="dxa" w:w="30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確認テスト（全12問）</w:t>
            </w:r>
          </w:p>
        </w:tc>
        <w:tc>
          <w:tcPr>
            <w:tcW w:type="dxa" w:w="40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理解度の確認</w:t>
            </w:r>
          </w:p>
        </w:tc>
        <w:tc>
          <w:tcPr>
            <w:tcW w:type="dxa" w:w="2746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受講者全員</w:t>
            </w:r>
          </w:p>
        </w:tc>
      </w:tr>
      <w:tr>
        <w:tc>
          <w:tcPr>
            <w:tcW w:type="dxa" w:w="30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解答・解説集</w:t>
            </w:r>
          </w:p>
        </w:tc>
        <w:tc>
          <w:tcPr>
            <w:tcW w:type="dxa" w:w="40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採点・解説（対応スライド付き）</w:t>
            </w:r>
          </w:p>
        </w:tc>
        <w:tc>
          <w:tcPr>
            <w:tcW w:type="dxa" w:w="27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講師・採点者</w:t>
            </w:r>
          </w:p>
        </w:tc>
      </w:tr>
      <w:tr>
        <w:tc>
          <w:tcPr>
            <w:tcW w:type="dxa" w:w="30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講師用 進行台本</w:t>
            </w:r>
          </w:p>
        </w:tc>
        <w:tc>
          <w:tcPr>
            <w:tcW w:type="dxa" w:w="40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スライド別台本・想定質問・時間配分</w:t>
            </w:r>
          </w:p>
        </w:tc>
        <w:tc>
          <w:tcPr>
            <w:tcW w:type="dxa" w:w="2746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講師</w:t>
            </w:r>
          </w:p>
        </w:tc>
      </w:tr>
    </w:tbl>
    <w:p>
      <w:pPr>
        <w:pStyle w:val="Heading2"/>
        <w:pBdr>
          <w:bottom w:val="single" w:color="9A6F1E" w:sz="6" w:space="3"/>
        </w:pBdr>
        <w:spacing w:after="90" w:before="220"/>
      </w:pPr>
      <w:r>
        <w:rPr>
          <w:rFonts w:ascii="Yu Gothic" w:eastAsia="Yu Gothic" w:hAnsi="Yu Gothic"/>
          <w:b/>
          <w:bCs/>
          <w:color w:val="16314F"/>
          <w:sz w:val="24"/>
          <w:szCs w:val="24"/>
        </w:rPr>
        <w:t xml:space="preserve">7. 実施後のフォロー</w:t>
      </w:r>
    </w:p>
    <w:p>
      <w:pPr>
        <w:pStyle w:val="ListParagraph"/>
        <w:numPr>
          <w:ilvl w:val="0"/>
          <w:numId w:val="2"/>
        </w:numPr>
        <w:spacing w:after="60" w:before="10" w:line="268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1"/>
          <w:szCs w:val="21"/>
        </w:rPr>
        <w:t xml:space="preserve">確認テストを採点し（全12点）、誤答の多い論点（従事者の指定、20日の意味、利益相反、事実認定など）は、対応スライドに戻って再確認する。</w:t>
      </w:r>
    </w:p>
    <w:p>
      <w:pPr>
        <w:pStyle w:val="ListParagraph"/>
        <w:numPr>
          <w:ilvl w:val="0"/>
          <w:numId w:val="2"/>
        </w:numPr>
        <w:spacing w:after="60" w:before="10" w:line="268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1"/>
          <w:szCs w:val="21"/>
        </w:rPr>
        <w:t xml:space="preserve">研修の実施記録（実施日・対象者・配布資料・版）を残す。</w:t>
      </w:r>
    </w:p>
    <w:p>
      <w:pPr>
        <w:pStyle w:val="ListParagraph"/>
        <w:numPr>
          <w:ilvl w:val="0"/>
          <w:numId w:val="2"/>
        </w:numPr>
        <w:spacing w:after="60" w:before="10" w:line="268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1"/>
          <w:szCs w:val="21"/>
        </w:rPr>
        <w:t xml:space="preserve">質問・現場の疑問を集約し、自社規程やFAQの改定に反映する。</w:t>
      </w:r>
    </w:p>
    <w:p>
      <w:pPr>
        <w:pStyle w:val="ListParagraph"/>
        <w:numPr>
          <w:ilvl w:val="0"/>
          <w:numId w:val="2"/>
        </w:numPr>
        <w:spacing w:after="60" w:before="10" w:line="268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1"/>
          <w:szCs w:val="21"/>
        </w:rPr>
        <w:t xml:space="preserve">従事者には、指定記録（書式D）の整備状況をあわせて確認する。</w:t>
      </w:r>
    </w:p>
    <w:p>
      <w:pPr>
        <w:pStyle w:val="Heading2"/>
        <w:pBdr>
          <w:bottom w:val="single" w:color="9A6F1E" w:sz="6" w:space="3"/>
        </w:pBdr>
        <w:spacing w:after="90" w:before="220"/>
      </w:pPr>
      <w:r>
        <w:rPr>
          <w:rFonts w:ascii="Yu Gothic" w:eastAsia="Yu Gothic" w:hAnsi="Yu Gothic"/>
          <w:b/>
          <w:bCs/>
          <w:color w:val="16314F"/>
          <w:sz w:val="24"/>
          <w:szCs w:val="24"/>
        </w:rPr>
        <w:t xml:space="preserve">8. 版管理・更新</w:t>
      </w:r>
    </w:p>
    <w:p>
      <w:pPr>
        <w:spacing w:after="80" w:before="20" w:line="276"/>
      </w:pPr>
      <w:r>
        <w:rPr>
          <w:rFonts w:ascii="Yu Gothic" w:eastAsia="Yu Gothic" w:hAnsi="Yu Gothic"/>
          <w:b/>
          <w:bCs/>
          <w:i w:val="false"/>
          <w:iCs w:val="false"/>
          <w:color w:val="222B30"/>
          <w:sz w:val="21"/>
          <w:szCs w:val="21"/>
        </w:rPr>
        <w:t xml:space="preserve">法令・制度基準日：2026年6月18日。</w:t>
      </w: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1"/>
          <w:szCs w:val="21"/>
        </w:rPr>
        <w:t xml:space="preserve">本資料は、この時点で施行されている法・指針を前提に、2026年12月1日施行の改正内容をティール色のラベルで併記しています。</w:t>
      </w:r>
    </w:p>
    <w:tbl>
      <w:tblPr>
        <w:tblW w:type="dxa" w:w="9746"/>
        <w:tblBorders>
          <w:top w:val="single" w:color="1C6660" w:sz="4"/>
          <w:left w:val="single" w:color="1C6660" w:sz="12"/>
          <w:bottom w:val="single" w:color="1C6660" w:sz="4"/>
          <w:right w:val="single" w:color="1C6660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shd w:fill="E5F0EE" w:val="clear"/>
            <w:tcMar>
              <w:top w:type="dxa" w:w="90"/>
              <w:left w:type="dxa" w:w="160"/>
              <w:bottom w:type="dxa" w:w="90"/>
              <w:right w:type="dxa" w:w="140"/>
            </w:tcMar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C6660"/>
                <w:sz w:val="19"/>
                <w:szCs w:val="19"/>
              </w:rPr>
              <w:t xml:space="preserve">【重要】2026年12月1日（改正施行日）に向けた更新：</w:t>
            </w: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施行日以降は、改正内容（フリーランス等の追加、通報妨害・探索の禁止、不利益取扱いの例示明確化と公益通報から1年以内の推定、解雇・懲戒への直罰、従事者指定義務違反への命令及び命令違反への刑事罰の新設〔その他の体制整備義務違反は報告徴収・助言指導・勧告・公表〕、独立性確保措置の対象拡大）が現行法となります。施行前後で、スライド・ハンドブック・書式・テスト・解答の『現在施行中／施行予定』の表記を見直してください。</w:t>
            </w:r>
          </w:p>
        </w:tc>
      </w:tr>
    </w:tbl>
    <w:p>
      <w:pPr>
        <w:pStyle w:val="ListParagraph"/>
        <w:numPr>
          <w:ilvl w:val="0"/>
          <w:numId w:val="2"/>
        </w:numPr>
        <w:spacing w:after="60" w:before="10" w:line="268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1"/>
          <w:szCs w:val="21"/>
        </w:rPr>
        <w:t xml:space="preserve">更新時は、消費者庁の公益通報者保護制度のページ・改正指針・指針解説（一次資料）を確認する。</w:t>
      </w:r>
    </w:p>
    <w:p>
      <w:pPr>
        <w:pStyle w:val="ListParagraph"/>
        <w:numPr>
          <w:ilvl w:val="0"/>
          <w:numId w:val="2"/>
        </w:numPr>
        <w:spacing w:after="60" w:before="10" w:line="268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1"/>
          <w:szCs w:val="21"/>
        </w:rPr>
        <w:t xml:space="preserve">自社規程の改定（受付ルート・通知の目安期間・エスカレーション先・保管期間等）を反映する。</w:t>
      </w:r>
    </w:p>
    <w:p>
      <w:pPr>
        <w:pStyle w:val="ListParagraph"/>
        <w:numPr>
          <w:ilvl w:val="0"/>
          <w:numId w:val="2"/>
        </w:numPr>
        <w:spacing w:after="60" w:before="10" w:line="268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1"/>
          <w:szCs w:val="21"/>
        </w:rPr>
        <w:t xml:space="preserve">版番号・改訂日・改訂者を記録し、旧版との差分を管理する。</w:t>
      </w:r>
    </w:p>
    <w:p>
      <w:pPr>
        <w:spacing w:after="0" w:before="0" w:line="120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6"/>
          <w:szCs w:val="6"/>
        </w:rPr>
        <w:t xml:space="preserve"/>
      </w:r>
    </w:p>
    <w:tbl>
      <w:tblPr>
        <w:tblW w:type="dxa" w:w="9746"/>
        <w:tblBorders>
          <w:top w:val="single" w:color="A8261C" w:sz="4"/>
          <w:left w:val="single" w:color="A8261C" w:sz="12"/>
          <w:bottom w:val="single" w:color="A8261C" w:sz="4"/>
          <w:right w:val="single" w:color="A8261C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shd w:fill="FAE9E7" w:val="clear"/>
            <w:tcMar>
              <w:top w:type="dxa" w:w="90"/>
              <w:left w:type="dxa" w:w="160"/>
              <w:bottom w:type="dxa" w:w="90"/>
              <w:right w:type="dxa" w:w="140"/>
            </w:tcMar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A8261C"/>
                <w:sz w:val="19"/>
                <w:szCs w:val="19"/>
              </w:rPr>
              <w:t xml:space="preserve">注意：</w:t>
            </w: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本パッケージは研修・実務の参考資料です。研修を実施することや本資料を使うことで、体制整備義務がすべて果たされる・完全に対応できる、というものではありません。最終的な判断は、最新の一次資料（消費者庁の指針・指針解説）と自社の内部通報規程によります。</w:t>
            </w:r>
          </w:p>
        </w:tc>
      </w:tr>
    </w:tbl>
    <w:sectPr>
      <w:footerReference w:type="default" r:id="rId7"/>
      <w:pgSz w:w="11906" w:h="16838" w:orient="portrait"/>
      <w:pgMar w:top="1191" w:right="1080" w:bottom="1134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0D8" w:sz="4" w:space="6"/>
      </w:pBdr>
      <w:tabs>
        <w:tab w:val="right" w:pos="9746"/>
      </w:tabs>
      <w:spacing w:after="0" w:before="0"/>
    </w:pPr>
    <w:r>
      <w:rPr>
        <w:rFonts w:ascii="Yu Gothic" w:eastAsia="Yu Gothic" w:hAnsi="Yu Gothic"/>
        <w:b w:val="false"/>
        <w:bCs w:val="false"/>
        <w:i w:val="false"/>
        <w:iCs w:val="false"/>
        <w:color w:val="5C6B76"/>
        <w:sz w:val="16"/>
        <w:szCs w:val="16"/>
      </w:rPr>
      <w:t xml:space="preserve">Legal GPT ｜ 法務・総務のための社内研修資料20選 第3回</w:t>
    </w:r>
    <w:r>
      <w:rPr>
        <w:rFonts w:ascii="Yu Gothic" w:eastAsia="Yu Gothic"/>
      </w:rPr>
      <w:t xml:space="preserve">	</w:t>
    </w:r>
    <w:r>
      <w:rPr>
        <w:rFonts w:ascii="Yu Gothic" w:eastAsia="Yu Gothic"/>
        <w:color w:val="5C6B76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Yu Gothic" w:eastAsia="Yu Gothic" w:hAnsi="Yu Gothic"/>
        <w:b w:val="false"/>
        <w:bCs w:val="false"/>
        <w:i w:val="false"/>
        <w:iCs w:val="false"/>
        <w:color w:val="5C6B76"/>
        <w:sz w:val="16"/>
        <w:szCs w:val="16"/>
      </w:rPr>
      <w:t xml:space="preserve"> / </w:t>
    </w:r>
    <w:r>
      <w:rPr>
        <w:rFonts w:ascii="Yu Gothic" w:eastAsia="Yu Gothic"/>
        <w:color w:val="5C6B76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30" w:hanging="250"/>
      </w:pPr>
      <w:rPr>
        <w:color w:val="243B53"/>
      </w:rPr>
    </w:lvl>
    <w:lvl w:ilvl="1" w15:tentative="1">
      <w:start w:val="1"/>
      <w:numFmt w:val="bullet"/>
      <w:lvlText w:val="–"/>
      <w:lvlJc w:val="left"/>
      <w:pPr>
        <w:ind w:left="820" w:hanging="25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30" w:hanging="30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30" w:hanging="30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問%1."/>
      <w:lvlJc w:val="left"/>
      <w:pPr>
        <w:ind w:left="640" w:hanging="640"/>
      </w:pPr>
      <w:rPr>
        <w:b/>
        <w:bCs/>
        <w:color w:val="16314F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Gothic" w:eastAsia="Yu Gothic" w:hAnsi="Yu Gothic"/>
        <w:color w:val="222B30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120"/>
      <w:outlineLvl w:val="0"/>
    </w:pPr>
    <w:rPr>
      <w:rFonts w:ascii="Yu Gothic" w:eastAsia="Yu Gothic" w:hAnsi="Yu Gothic"/>
      <w:b/>
      <w:bCs/>
      <w:color w:val="16314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90" w:before="220"/>
      <w:outlineLvl w:val="1"/>
    </w:pPr>
    <w:rPr>
      <w:rFonts w:ascii="Yu Gothic" w:eastAsia="Yu Gothic" w:hAnsi="Yu Gothic"/>
      <w:b/>
      <w:bCs/>
      <w:color w:val="16314F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60" w:before="150"/>
      <w:outlineLvl w:val="2"/>
    </w:pPr>
    <w:rPr>
      <w:rFonts w:ascii="Yu Gothic" w:eastAsia="Yu Gothic" w:hAnsi="Yu Gothic"/>
      <w:b/>
      <w:bCs/>
      <w:color w:val="243B53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2026-06-18T09:22:02.150Z</dcterms:created>
  <dcterms:modified xsi:type="dcterms:W3CDTF">2026-06-18T09:22:02.151Z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