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0"/>
          <w:szCs w:val="20"/>
        </w:rPr>
        <w:t xml:space="preserve">法務・総務のための社内研修資料20選　第6回</w:t>
      </w:r>
    </w:p>
    <w:p>
      <w:pPr>
        <w:spacing w:after="60"/>
      </w:pPr>
      <w:r>
        <w:rPr>
          <w:rFonts w:ascii="Meiryo" w:cs="Meiryo" w:eastAsia="Meiryo" w:hAnsi="Meiryo"/>
          <w:b/>
          <w:bCs/>
          <w:color w:val="5B6772"/>
          <w:sz w:val="20"/>
          <w:szCs w:val="20"/>
        </w:rPr>
        <w:t xml:space="preserve">採用関係者向け 実務ハンドブック</w:t>
      </w:r>
    </w:p>
    <w:p>
      <w:pPr>
        <w:pBdr>
          <w:bottom w:val="single" w:color="B58A3A" w:sz="14" w:space="8"/>
        </w:pBdr>
        <w:spacing w:after="120"/>
      </w:pPr>
      <w:r>
        <w:rPr>
          <w:rFonts w:ascii="Meiryo" w:cs="Meiryo" w:eastAsia="Meiryo" w:hAnsi="Meiryo"/>
          <w:b/>
          <w:bCs/>
          <w:color w:val="16314F"/>
          <w:sz w:val="36"/>
          <w:szCs w:val="36"/>
        </w:rPr>
        <w:t xml:space="preserve">求職者等セクハラ ハンドブック</w:t>
      </w:r>
    </w:p>
    <w:p>
      <w:pPr>
        <w:spacing w:after="40"/>
      </w:pPr>
      <w:r>
        <w:rPr>
          <w:rFonts w:ascii="Meiryo" w:cs="Meiryo" w:eastAsia="Meiryo" w:hAnsi="Meiryo"/>
          <w:b/>
          <w:bCs/>
          <w:i w:val="false"/>
          <w:iCs w:val="false"/>
          <w:color w:val="263238"/>
          <w:sz w:val="21"/>
          <w:szCs w:val="21"/>
        </w:rPr>
        <w:t xml:space="preserve">対象：</w:t>
      </w:r>
      <w:r>
        <w:rPr>
          <w:rFonts w:ascii="Meiryo" w:cs="Meiryo" w:eastAsia="Meiryo" w:hAnsi="Meiryo"/>
          <w:b w:val="false"/>
          <w:bCs w:val="false"/>
          <w:i w:val="false"/>
          <w:iCs w:val="false"/>
          <w:color w:val="263238"/>
          <w:sz w:val="21"/>
          <w:szCs w:val="21"/>
        </w:rPr>
        <w:t xml:space="preserve">採用担当者・面接官・リクルーター・インターン受入／実習指導担当者・OB・OG訪問対応社員・役員 ほか</w:t>
      </w:r>
    </w:p>
    <w:p>
      <w:pPr>
        <w:spacing w:after="40"/>
      </w:pPr>
      <w:r>
        <w:rPr>
          <w:rFonts w:ascii="Meiryo" w:cs="Meiryo" w:eastAsia="Meiryo" w:hAnsi="Meiryo"/>
          <w:b/>
          <w:bCs/>
          <w:i w:val="false"/>
          <w:iCs w:val="false"/>
          <w:color w:val="263238"/>
          <w:sz w:val="21"/>
          <w:szCs w:val="21"/>
        </w:rPr>
        <w:t xml:space="preserve">法令・制度基準日：</w:t>
      </w:r>
      <w:r>
        <w:rPr>
          <w:rFonts w:ascii="Meiryo" w:cs="Meiryo" w:eastAsia="Meiryo" w:hAnsi="Meiryo"/>
          <w:b w:val="false"/>
          <w:bCs w:val="false"/>
          <w:i w:val="false"/>
          <w:iCs w:val="false"/>
          <w:color w:val="263238"/>
          <w:sz w:val="21"/>
          <w:szCs w:val="21"/>
        </w:rPr>
        <w:t xml:space="preserve">2026年6月18日（施行前）</w:t>
      </w:r>
      <w:r>
        <w:rPr>
          <w:rFonts w:ascii="Meiryo" w:cs="Meiryo" w:eastAsia="Meiryo" w:hAnsi="Meiryo"/>
          <w:b w:val="false"/>
          <w:bCs w:val="false"/>
          <w:i w:val="false"/>
          <w:iCs w:val="false"/>
          <w:color w:val="5B6772"/>
          <w:sz w:val="21"/>
          <w:szCs w:val="21"/>
        </w:rPr>
        <w:t xml:space="preserve">　／　</w:t>
      </w:r>
      <w:r>
        <w:rPr>
          <w:rFonts w:ascii="Meiryo" w:cs="Meiryo" w:eastAsia="Meiryo" w:hAnsi="Meiryo"/>
          <w:b/>
          <w:bCs/>
          <w:i w:val="false"/>
          <w:iCs w:val="false"/>
          <w:color w:val="237A75"/>
          <w:sz w:val="21"/>
          <w:szCs w:val="21"/>
        </w:rPr>
        <w:t xml:space="preserve">施行日：2026年10月1日</w:t>
      </w:r>
    </w:p>
    <w:p>
      <w:pPr>
        <w:spacing w:after="40"/>
      </w:pPr>
      <w:r>
        <w:rPr>
          <w:rFonts w:ascii="Meiryo" w:cs="Meiryo" w:eastAsia="Meiryo" w:hAnsi="Meiryo"/>
          <w:b/>
          <w:bCs/>
          <w:i w:val="false"/>
          <w:iCs w:val="false"/>
          <w:color w:val="263238"/>
          <w:sz w:val="21"/>
          <w:szCs w:val="21"/>
        </w:rPr>
        <w:t xml:space="preserve">根拠：</w:t>
      </w:r>
      <w:r>
        <w:rPr>
          <w:rFonts w:ascii="Meiryo" w:cs="Meiryo" w:eastAsia="Meiryo" w:hAnsi="Meiryo"/>
          <w:b w:val="false"/>
          <w:bCs w:val="false"/>
          <w:i w:val="false"/>
          <w:iCs w:val="false"/>
          <w:color w:val="263238"/>
          <w:sz w:val="21"/>
          <w:szCs w:val="21"/>
        </w:rPr>
        <w:t xml:space="preserve">改正男女雇用機会均等法（令和7年法律第63号）／求職活動等におけるセクシュアルハラスメント防止指針（令和8年厚生労働省告示第52号）</w:t>
      </w:r>
    </w:p>
    <w:p>
      <w:pPr>
        <w:spacing w:after="40"/>
      </w:pPr>
      <w:r>
        <w:rPr>
          <w:rFonts w:ascii="Meiryo" w:cs="Meiryo" w:eastAsia="Meiryo" w:hAnsi="Meiryo"/>
          <w:b w:val="false"/>
          <w:bCs w:val="false"/>
          <w:i w:val="false"/>
          <w:iCs w:val="false"/>
          <w:color w:val="5B6772"/>
          <w:sz w:val="18"/>
          <w:szCs w:val="18"/>
        </w:rPr>
        <w:t xml:space="preserve">版：第1.0版（要・施行後更新）　編集：Legal GPT</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このハンドブックの位置づけ</w:t>
            </w:r>
          </w:p>
          <w:p>
            <w:pPr>
              <w:spacing w:after="40" w:line="276"/>
              <w:ind w:left="60"/>
            </w:pPr>
            <w:r>
              <w:rPr>
                <w:rFonts w:ascii="Meiryo" w:cs="Meiryo" w:eastAsia="Meiryo" w:hAnsi="Meiryo"/>
                <w:b w:val="false"/>
                <w:bCs w:val="false"/>
                <w:i w:val="false"/>
                <w:iCs w:val="false"/>
                <w:color w:val="263238"/>
                <w:sz w:val="21"/>
                <w:szCs w:val="21"/>
              </w:rPr>
              <w:t xml:space="preserve">本書は厚生労働省の一次資料に基づく研修用の実務ハンドブックです。個別事案の該当性に関する最終判断や法的助言ではありません。</w:t>
            </w:r>
          </w:p>
          <w:p>
            <w:pPr>
              <w:spacing w:after="40" w:line="276"/>
              <w:ind w:left="60"/>
            </w:pPr>
            <w:r>
              <w:rPr>
                <w:rFonts w:ascii="Meiryo" w:cs="Meiryo" w:eastAsia="Meiryo" w:hAnsi="Meiryo"/>
                <w:b w:val="false"/>
                <w:bCs w:val="false"/>
                <w:i w:val="false"/>
                <w:iCs w:val="false"/>
                <w:color w:val="263238"/>
                <w:sz w:val="21"/>
                <w:szCs w:val="21"/>
              </w:rPr>
              <w:t xml:space="preserve">本書の配布・周知だけで事業主の措置義務をすべて履行できるわけではありません。自社規程・相談窓口の整備と併せて運用してください。</w:t>
            </w:r>
          </w:p>
          <w:p>
            <w:pPr>
              <w:spacing w:after="40" w:line="276"/>
              <w:ind w:left="60"/>
            </w:pPr>
            <w:r>
              <w:rPr>
                <w:rFonts w:ascii="Meiryo" w:cs="Meiryo" w:eastAsia="Meiryo" w:hAnsi="Meiryo"/>
                <w:b/>
                <w:bCs/>
                <w:i w:val="false"/>
                <w:iCs w:val="false"/>
                <w:color w:val="263238"/>
                <w:sz w:val="21"/>
                <w:szCs w:val="21"/>
              </w:rPr>
              <w:t xml:space="preserve">凡例：</w:t>
            </w:r>
            <w:r>
              <w:rPr>
                <w:rFonts w:ascii="Meiryo" w:cs="Meiryo" w:eastAsia="Meiryo" w:hAnsi="Meiryo"/>
                <w:b/>
                <w:bCs/>
                <w:color w:val="B58A3A"/>
                <w:sz w:val="18"/>
                <w:szCs w:val="18"/>
              </w:rPr>
              <w:t xml:space="preserve">【義務】 </w:t>
            </w:r>
            <w:r>
              <w:rPr>
                <w:rFonts w:ascii="Meiryo" w:cs="Meiryo" w:eastAsia="Meiryo" w:hAnsi="Meiryo"/>
                <w:b w:val="false"/>
                <w:bCs w:val="false"/>
                <w:i w:val="false"/>
                <w:iCs w:val="false"/>
                <w:color w:val="263238"/>
                <w:sz w:val="21"/>
                <w:szCs w:val="21"/>
              </w:rPr>
              <w:t xml:space="preserve">法令上の義務　</w:t>
            </w:r>
            <w:r>
              <w:rPr>
                <w:rFonts w:ascii="Meiryo" w:cs="Meiryo" w:eastAsia="Meiryo" w:hAnsi="Meiryo"/>
                <w:b/>
                <w:bCs/>
                <w:color w:val="16314F"/>
                <w:sz w:val="18"/>
                <w:szCs w:val="18"/>
              </w:rPr>
              <w:t xml:space="preserve">【指針の実施例】 </w:t>
            </w:r>
            <w:r>
              <w:rPr>
                <w:rFonts w:ascii="Meiryo" w:cs="Meiryo" w:eastAsia="Meiryo" w:hAnsi="Meiryo"/>
                <w:b w:val="false"/>
                <w:bCs w:val="false"/>
                <w:i w:val="false"/>
                <w:iCs w:val="false"/>
                <w:color w:val="263238"/>
                <w:sz w:val="21"/>
                <w:szCs w:val="21"/>
              </w:rPr>
              <w:t xml:space="preserve">指針の実施例　</w:t>
            </w:r>
            <w:r>
              <w:rPr>
                <w:rFonts w:ascii="Meiryo" w:cs="Meiryo" w:eastAsia="Meiryo" w:hAnsi="Meiryo"/>
                <w:b/>
                <w:bCs/>
                <w:color w:val="2F6B4F"/>
                <w:sz w:val="18"/>
                <w:szCs w:val="18"/>
              </w:rPr>
              <w:t xml:space="preserve">【望ましい】 </w:t>
            </w:r>
            <w:r>
              <w:rPr>
                <w:rFonts w:ascii="Meiryo" w:cs="Meiryo" w:eastAsia="Meiryo" w:hAnsi="Meiryo"/>
                <w:b w:val="false"/>
                <w:bCs w:val="false"/>
                <w:i w:val="false"/>
                <w:iCs w:val="false"/>
                <w:color w:val="263238"/>
                <w:sz w:val="21"/>
                <w:szCs w:val="21"/>
              </w:rPr>
              <w:t xml:space="preserve">望ましい取組　</w:t>
            </w:r>
            <w:r>
              <w:rPr>
                <w:rFonts w:ascii="Meiryo" w:cs="Meiryo" w:eastAsia="Meiryo" w:hAnsi="Meiryo"/>
                <w:b/>
                <w:bCs/>
                <w:color w:val="237A75"/>
                <w:sz w:val="18"/>
                <w:szCs w:val="18"/>
              </w:rPr>
              <w:t xml:space="preserve">【施行：2026/10/1】 </w:t>
            </w:r>
            <w:r>
              <w:rPr>
                <w:rFonts w:ascii="Meiryo" w:cs="Meiryo" w:eastAsia="Meiryo" w:hAnsi="Meiryo"/>
                <w:b w:val="false"/>
                <w:bCs w:val="false"/>
                <w:i w:val="false"/>
                <w:iCs w:val="false"/>
                <w:color w:val="263238"/>
                <w:sz w:val="21"/>
                <w:szCs w:val="21"/>
              </w:rPr>
              <w:t xml:space="preserve">施行で義務化</w:t>
            </w:r>
          </w:p>
        </w:tc>
      </w:tr>
    </w:tbl>
    <w:p>
      <w:pPr>
        <w:spacing w:after="120"/>
      </w:pPr>
      <w:r>
        <w:t xml:space="preserve"/>
      </w:r>
    </w:p>
    <w:sdt>
      <w:sdtPr>
        <w:alias w:val="目次"/>
      </w:sdtPr>
      <w:sdtContent>
        <w:p>
          <w:r>
            <w:fldChar w:fldCharType="begin" w:dirty="true"/>
            <w:instrText xml:space="preserve">TOC \h \o "1-2"</w:instrText>
            <w:fldChar w:fldCharType="separate"/>
          </w:r>
        </w:p>
        <w:p>
          <w:r>
            <w:fldChar w:fldCharType="end"/>
          </w:r>
        </w:p>
      </w:sdtContent>
    </w:sdt>
    <w:p>
      <w:r>
        <w:br w:type="page"/>
      </w:r>
    </w:p>
    <w:p>
      <w:pPr>
        <w:pStyle w:val="Heading1"/>
      </w:pPr>
      <w:r>
        <w:rPr>
          <w:rFonts w:ascii="Meiryo" w:cs="Meiryo" w:eastAsia="Meiryo" w:hAnsi="Meiryo"/>
        </w:rPr>
        <w:t xml:space="preserve">1. 求職者等セクハラとは（全体像）</w:t>
      </w:r>
    </w:p>
    <w:p>
      <w:pPr>
        <w:spacing w:after="90" w:before="0" w:line="288"/>
      </w:pPr>
      <w:r>
        <w:rPr>
          <w:rFonts w:ascii="Meiryo" w:cs="Meiryo" w:eastAsia="Meiryo" w:hAnsi="Meiryo"/>
          <w:b w:val="false"/>
          <w:bCs w:val="false"/>
          <w:i w:val="false"/>
          <w:iCs w:val="false"/>
          <w:color w:val="263238"/>
          <w:sz w:val="21"/>
          <w:szCs w:val="21"/>
        </w:rPr>
        <w:t xml:space="preserve">「求職者等セクハラ」とは、</w:t>
      </w:r>
      <w:r>
        <w:rPr>
          <w:rFonts w:ascii="Meiryo" w:cs="Meiryo" w:eastAsia="Meiryo" w:hAnsi="Meiryo"/>
          <w:b/>
          <w:bCs/>
          <w:i w:val="false"/>
          <w:iCs w:val="false"/>
          <w:color w:val="263238"/>
          <w:sz w:val="21"/>
          <w:szCs w:val="21"/>
        </w:rPr>
        <w:t xml:space="preserve">事業主が雇用する労働者による性的な言動により、求職者等の求職活動等が阻害されるもの</w:t>
      </w:r>
      <w:r>
        <w:rPr>
          <w:rFonts w:ascii="Meiryo" w:cs="Meiryo" w:eastAsia="Meiryo" w:hAnsi="Meiryo"/>
          <w:b w:val="false"/>
          <w:bCs w:val="false"/>
          <w:i w:val="false"/>
          <w:iCs w:val="false"/>
          <w:color w:val="263238"/>
          <w:sz w:val="21"/>
          <w:szCs w:val="21"/>
        </w:rPr>
        <w:t xml:space="preserve">をいいます。2026年10月1日から、その防止のために事業主が雇用管理上必要な措置を講ずることが義務となります（改正男女雇用機会均等法／告示第52号）。</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FE0DC" w:sz="6"/>
              <w:left w:val="single" w:color="BFE0DC" w:sz="6"/>
              <w:bottom w:val="single" w:color="BFE0DC" w:sz="6"/>
              <w:right w:val="single" w:color="BFE0DC" w:sz="6"/>
            </w:tcBorders>
            <w:shd w:fill="E5F1F0" w:val="clear"/>
            <w:tcMar>
              <w:top w:type="dxa" w:w="120"/>
              <w:left w:type="dxa" w:w="200"/>
              <w:bottom w:type="dxa" w:w="120"/>
              <w:right w:type="dxa" w:w="200"/>
            </w:tcMar>
          </w:tcPr>
          <w:p>
            <w:pPr>
              <w:spacing w:after="40" w:line="276"/>
              <w:ind w:left="60"/>
            </w:pPr>
            <w:r>
              <w:rPr>
                <w:rFonts w:ascii="Meiryo" w:cs="Meiryo" w:eastAsia="Meiryo" w:hAnsi="Meiryo"/>
                <w:b/>
                <w:bCs/>
                <w:color w:val="237A75"/>
                <w:sz w:val="18"/>
                <w:szCs w:val="18"/>
              </w:rPr>
              <w:t xml:space="preserve">【施行：2026/10/1】 </w:t>
            </w:r>
            <w:r>
              <w:rPr>
                <w:rFonts w:ascii="Meiryo" w:cs="Meiryo" w:eastAsia="Meiryo" w:hAnsi="Meiryo"/>
                <w:b w:val="false"/>
                <w:bCs w:val="false"/>
                <w:i w:val="false"/>
                <w:iCs w:val="false"/>
                <w:color w:val="263238"/>
                <w:sz w:val="21"/>
                <w:szCs w:val="21"/>
              </w:rPr>
              <w:t xml:space="preserve">2026年6月18日（基準日）時点では施行前です。本書は、2026年10月1日施行予定の措置義務を反映して作成しています。施行後に使用する場合は、最新の法令・告示・通知・Q&amp;A及び自社規程の改定状況を確認し、必要な更新を行ってください。</w:t>
            </w:r>
          </w:p>
        </w:tc>
      </w:tr>
    </w:tbl>
    <w:p>
      <w:pPr>
        <w:pStyle w:val="Heading2"/>
      </w:pPr>
      <w:r>
        <w:rPr>
          <w:rFonts w:ascii="Meiryo" w:cs="Meiryo" w:eastAsia="Meiryo" w:hAnsi="Meiryo"/>
        </w:rPr>
        <w:t xml:space="preserve">2. 「求職者等」の範囲 — 学生だけではない</w:t>
      </w:r>
    </w:p>
    <w:p>
      <w:pPr>
        <w:spacing w:after="90" w:before="0" w:line="288"/>
      </w:pPr>
      <w:r>
        <w:rPr>
          <w:rFonts w:ascii="Meiryo" w:cs="Meiryo" w:eastAsia="Meiryo" w:hAnsi="Meiryo"/>
          <w:b w:val="false"/>
          <w:bCs w:val="false"/>
          <w:i w:val="false"/>
          <w:iCs w:val="false"/>
          <w:color w:val="263238"/>
          <w:sz w:val="21"/>
          <w:szCs w:val="21"/>
        </w:rPr>
        <w:t xml:space="preserve">「求職者等」は、求職者と、求職者に類する者（事業主が実施する労働者の採用に資する活動への参加者、教育実習・看護実習その他の実習を受ける者）を指します。新卒に限らず、中途・障害者採用・外国人採用・再雇用などの応募者も含み得ます。</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企業の求人へ応募する求職者</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会社説明会・採用イベント・社員訪問・OB・OG訪問など、採用に資する活動への参加者</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インターンシップへの参加者</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教育実習・看護実習その他の実習を受ける者</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40" w:line="276"/>
              <w:ind w:left="60"/>
            </w:pPr>
            <w:r>
              <w:rPr>
                <w:rFonts w:ascii="Meiryo" w:cs="Meiryo" w:eastAsia="Meiryo" w:hAnsi="Meiryo"/>
                <w:b/>
                <w:bCs/>
                <w:color w:val="B42318"/>
                <w:sz w:val="18"/>
                <w:szCs w:val="18"/>
              </w:rPr>
              <w:t xml:space="preserve">【禁止】 </w:t>
            </w:r>
            <w:r>
              <w:rPr>
                <w:rFonts w:ascii="Meiryo" w:cs="Meiryo" w:eastAsia="Meiryo" w:hAnsi="Meiryo"/>
                <w:b w:val="false"/>
                <w:bCs w:val="false"/>
                <w:i w:val="false"/>
                <w:iCs w:val="false"/>
                <w:color w:val="263238"/>
                <w:sz w:val="21"/>
                <w:szCs w:val="21"/>
              </w:rPr>
              <w:t xml:space="preserve">「対象は学生だけ」と説明しないでください。</w:t>
            </w:r>
          </w:p>
        </w:tc>
      </w:tr>
    </w:tbl>
    <w:p>
      <w:pPr>
        <w:pStyle w:val="Heading2"/>
      </w:pPr>
      <w:r>
        <w:rPr>
          <w:rFonts w:ascii="Meiryo" w:cs="Meiryo" w:eastAsia="Meiryo" w:hAnsi="Meiryo"/>
        </w:rPr>
        <w:t xml:space="preserve">3. 「求職活動等」の範囲 — 面接室の外にも広がる</w:t>
      </w:r>
    </w:p>
    <w:p>
      <w:pPr>
        <w:spacing w:after="90" w:before="0" w:line="288"/>
      </w:pPr>
      <w:r>
        <w:rPr>
          <w:rFonts w:ascii="Meiryo" w:cs="Meiryo" w:eastAsia="Meiryo" w:hAnsi="Meiryo"/>
          <w:b w:val="false"/>
          <w:bCs w:val="false"/>
          <w:i w:val="false"/>
          <w:iCs w:val="false"/>
          <w:color w:val="263238"/>
          <w:sz w:val="21"/>
          <w:szCs w:val="21"/>
        </w:rPr>
        <w:t xml:space="preserve">「求職活動等」は、求職者が行う求職活動や、求職者に類する者が行う職業の選択に資する活動を指します。会社施設内に限られず、通常の就業場所以外やオンライン上のやり取りも含まれ得ます。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含まれ得る場面（指針の例）</w:t>
            </w:r>
          </w:p>
        </w:tc>
        <w:tc>
          <w:tcPr>
            <w:tcW w:type="dxa" w:w="4819"/>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採用面接への参加</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会社説明会・採用イベントへの参加</w:t>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社員（労働者）への訪問</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OB・OG訪問／リクルーター面談</w:t>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インターンシップへの参加</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教育実習・看護実習等の受講</w:t>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SNS等オンラインを介した面談・連絡・交流</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40" w:line="276"/>
              <w:ind w:left="60"/>
            </w:pPr>
            <w:r>
              <w:rPr>
                <w:rFonts w:ascii="Meiryo" w:cs="Meiryo" w:eastAsia="Meiryo" w:hAnsi="Meiryo"/>
                <w:b/>
                <w:bCs/>
                <w:color w:val="B42318"/>
                <w:sz w:val="18"/>
                <w:szCs w:val="18"/>
              </w:rPr>
              <w:t xml:space="preserve">【禁止】 </w:t>
            </w:r>
            <w:r>
              <w:rPr>
                <w:rFonts w:ascii="Meiryo" w:cs="Meiryo" w:eastAsia="Meiryo" w:hAnsi="Meiryo"/>
                <w:b w:val="false"/>
                <w:bCs w:val="false"/>
                <w:i w:val="false"/>
                <w:iCs w:val="false"/>
                <w:color w:val="263238"/>
                <w:sz w:val="21"/>
                <w:szCs w:val="21"/>
              </w:rPr>
              <w:t xml:space="preserve">一方で、社員と求職者等の「あらゆる私的交流」が自動的に求職活動等になるわけではありません。採用活動との関連・会社の関与・社員の立場・目的・選考や入社判断への影響等を確認します。</w:t>
            </w:r>
          </w:p>
        </w:tc>
      </w:tr>
    </w:tbl>
    <w:p>
      <w:pPr>
        <w:pStyle w:val="Heading2"/>
      </w:pPr>
      <w:r>
        <w:rPr>
          <w:rFonts w:ascii="Meiryo" w:cs="Meiryo" w:eastAsia="Meiryo" w:hAnsi="Meiryo"/>
        </w:rPr>
        <w:t xml:space="preserve">4. 行為者となり得る者</w:t>
      </w:r>
    </w:p>
    <w:p>
      <w:pPr>
        <w:spacing w:after="90" w:before="0" w:line="288"/>
      </w:pPr>
      <w:r>
        <w:rPr>
          <w:rFonts w:ascii="Meiryo" w:cs="Meiryo" w:eastAsia="Meiryo" w:hAnsi="Meiryo"/>
          <w:b w:val="false"/>
          <w:bCs w:val="false"/>
          <w:i w:val="false"/>
          <w:iCs w:val="false"/>
          <w:color w:val="263238"/>
          <w:sz w:val="21"/>
          <w:szCs w:val="21"/>
        </w:rPr>
        <w:t xml:space="preserve">法令上の措置義務の中心は、事業主が雇用する労働者による性的な言動です。正社員だけでなく、パート・契約社員等の非正規雇用の労働者も含みます。派遣労働者を採用活動に関与させる場合は、派遣元・派遣先の役割と自社ルールを確認してください。</w:t>
      </w:r>
    </w:p>
    <w:p>
      <w:pPr>
        <w:spacing w:after="90" w:before="0" w:line="288"/>
      </w:pPr>
      <w:r>
        <w:rPr>
          <w:rFonts w:ascii="Meiryo" w:cs="Meiryo" w:eastAsia="Meiryo" w:hAnsi="Meiryo"/>
          <w:b w:val="false"/>
          <w:bCs w:val="false"/>
          <w:i w:val="false"/>
          <w:iCs w:val="false"/>
          <w:color w:val="263238"/>
          <w:sz w:val="21"/>
          <w:szCs w:val="21"/>
        </w:rPr>
        <w:t xml:space="preserve">役員・代表者による性的な言動も重大な問題です。法律上の「雇用する労働者」の範囲と、企業として講ずべき対応・推奨実務を区別したうえで、</w:t>
      </w:r>
      <w:r>
        <w:rPr>
          <w:rFonts w:ascii="Meiryo" w:cs="Meiryo" w:eastAsia="Meiryo" w:hAnsi="Meiryo"/>
          <w:b/>
          <w:bCs/>
          <w:i w:val="false"/>
          <w:iCs w:val="false"/>
          <w:color w:val="263238"/>
          <w:sz w:val="21"/>
          <w:szCs w:val="21"/>
        </w:rPr>
        <w:t xml:space="preserve">自社の規程では、役員・派遣労働者・採用活動に関与する委託先等も含めて禁止・対応の対象とすることが望まれます。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40" w:line="276"/>
              <w:ind w:left="60"/>
            </w:pPr>
            <w:r>
              <w:rPr>
                <w:rFonts w:ascii="Meiryo" w:cs="Meiryo" w:eastAsia="Meiryo" w:hAnsi="Meiryo"/>
                <w:b/>
                <w:bCs/>
                <w:color w:val="B42318"/>
                <w:sz w:val="18"/>
                <w:szCs w:val="18"/>
              </w:rPr>
              <w:t xml:space="preserve">【禁止】 </w:t>
            </w:r>
            <w:r>
              <w:rPr>
                <w:rFonts w:ascii="Meiryo" w:cs="Meiryo" w:eastAsia="Meiryo" w:hAnsi="Meiryo"/>
                <w:b w:val="false"/>
                <w:bCs w:val="false"/>
                <w:i w:val="false"/>
                <w:iCs w:val="false"/>
                <w:color w:val="263238"/>
                <w:sz w:val="21"/>
                <w:szCs w:val="21"/>
              </w:rPr>
              <w:t xml:space="preserve">「役員なら対象外」「正社員以外は対象外」「正式な担当者でなければ無関係」とは説明しないでください。</w:t>
            </w:r>
          </w:p>
        </w:tc>
      </w:tr>
    </w:tbl>
    <w:p>
      <w:pPr>
        <w:pStyle w:val="Heading1"/>
      </w:pPr>
      <w:r>
        <w:rPr>
          <w:rFonts w:ascii="Meiryo" w:cs="Meiryo" w:eastAsia="Meiryo" w:hAnsi="Meiryo"/>
        </w:rPr>
        <w:t xml:space="preserve">5. 求職者等セクハラの定義</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求職活動等において行われる求職者等の意に反する性的な言動により、求職活動等が阻害され、能力の発揮に重大な悪影響が生じる等、求職活動等を行う上で看過できない程度の支障が生じること。</w:t>
            </w:r>
          </w:p>
        </w:tc>
      </w:tr>
    </w:tbl>
    <w:p>
      <w:pPr>
        <w:spacing w:after="90" w:before="0" w:line="288"/>
      </w:pPr>
      <w:r>
        <w:rPr>
          <w:rFonts w:ascii="Meiryo" w:cs="Meiryo" w:eastAsia="Meiryo" w:hAnsi="Meiryo"/>
          <w:b w:val="false"/>
          <w:bCs w:val="false"/>
          <w:i w:val="false"/>
          <w:iCs w:val="false"/>
          <w:color w:val="263238"/>
          <w:sz w:val="21"/>
          <w:szCs w:val="21"/>
        </w:rPr>
        <w:t xml:space="preserve">「性的な言動」には、性的な事実関係を尋ねること・性的な内容の情報を意図的に流布することなどの発言や、性的な関係を強要すること・必要なく身体に触ること・わいせつな図画を配布することなどの行動が含まれます。</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同性に対する言動も含まれます。</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被害を受けた者の性的指向・ジェンダーアイデンティティにかかわらず対象となります。男性も女性も被害者・行為者になり得ます。</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求職者等は採否への影響を恐れて拒否しにくく、明確に拒否できなかったことを「同意」と決めつけてはいけません。</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一度の身体接触や性的関係の要求でも重大な支障を生じさせる場合があり、継続的な性的冗談や執拗な食事の誘い等も問題となります。</w:t>
      </w:r>
    </w:p>
    <w:p>
      <w:pPr>
        <w:pStyle w:val="Heading2"/>
      </w:pPr>
      <w:r>
        <w:rPr>
          <w:rFonts w:ascii="Meiryo" w:cs="Meiryo" w:eastAsia="Meiryo" w:hAnsi="Meiryo"/>
        </w:rPr>
        <w:t xml:space="preserve">6. 典型例（指針が挙げる例）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少人数の説明会で、労働者が求職者等の腰・胸等に触れ、求職活動等の意欲が低下している。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インターンシップで、労働者が性的な冗談やからかいを意図的・継続的に行い、活動が手につかない。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インターンシップの環境で、性的な内容を含むポスターの掲示・画面表示等があり、活動が手につかない。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面接中、面接官から性的な事実に関する質問を受け、求職活動の意欲が低下している。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社員への訪問の際、性的な関係を求められ、求職活動等の意欲が低下している。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インターンシップ中に執拗に私的な食事に誘われ、求職活動等の意欲が低下している。</w:t>
      </w:r>
    </w:p>
    <w:p>
      <w:pPr>
        <w:spacing w:after="90" w:before="0" w:line="288"/>
      </w:pPr>
      <w:r>
        <w:rPr>
          <w:rFonts w:ascii="Meiryo" w:cs="Meiryo" w:eastAsia="Meiryo" w:hAnsi="Meiryo"/>
          <w:b/>
          <w:bCs/>
          <w:i w:val="false"/>
          <w:iCs w:val="false"/>
          <w:color w:val="263238"/>
          <w:sz w:val="21"/>
          <w:szCs w:val="21"/>
        </w:rPr>
        <w:t xml:space="preserve">いずれも</w:t>
      </w:r>
      <w:r>
        <w:rPr>
          <w:rFonts w:ascii="Meiryo" w:cs="Meiryo" w:eastAsia="Meiryo" w:hAnsi="Meiryo"/>
          <w:b/>
          <w:bCs/>
          <w:i w:val="false"/>
          <w:iCs w:val="false"/>
          <w:color w:val="16314F"/>
          <w:sz w:val="21"/>
          <w:szCs w:val="21"/>
        </w:rPr>
        <w:t xml:space="preserve">「求職活動等が阻害される」点が共通</w:t>
      </w:r>
      <w:r>
        <w:rPr>
          <w:rFonts w:ascii="Meiryo" w:cs="Meiryo" w:eastAsia="Meiryo" w:hAnsi="Meiryo"/>
          <w:b w:val="false"/>
          <w:bCs w:val="false"/>
          <w:i w:val="false"/>
          <w:iCs w:val="false"/>
          <w:color w:val="263238"/>
          <w:sz w:val="21"/>
          <w:szCs w:val="21"/>
        </w:rPr>
        <w:t xml:space="preserve">です。行為者の意図の有無だけで判断しないでください。</w:t>
      </w:r>
    </w:p>
    <w:p>
      <w:pPr>
        <w:pStyle w:val="Heading2"/>
      </w:pPr>
      <w:r>
        <w:rPr>
          <w:rFonts w:ascii="Meiryo" w:cs="Meiryo" w:eastAsia="Meiryo" w:hAnsi="Meiryo"/>
        </w:rPr>
        <w:t xml:space="preserve">7. 職場セクハラ（第5話）との違い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00"/>
        <w:gridCol w:w="3500"/>
        <w:gridCol w:w="4238"/>
      </w:tblGrid>
      <w:tr>
        <w:trPr>
          <w:tblHeader/>
        </w:trPr>
        <w:tc>
          <w:tcPr>
            <w:tcW w:type="dxa" w:w="19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観点</w:t>
            </w:r>
          </w:p>
        </w:tc>
        <w:tc>
          <w:tcPr>
            <w:tcW w:type="dxa" w:w="35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第5話：職場セクハラ</w:t>
            </w:r>
          </w:p>
        </w:tc>
        <w:tc>
          <w:tcPr>
            <w:tcW w:type="dxa" w:w="4238"/>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本書：求職者等セクハラ</w:t>
            </w:r>
          </w:p>
        </w:tc>
      </w:tr>
      <w:tr>
        <w:tc>
          <w:tcPr>
            <w:tcW w:type="dxa" w:w="19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対象者</w:t>
            </w:r>
          </w:p>
        </w:tc>
        <w:tc>
          <w:tcPr>
            <w:tcW w:type="dxa" w:w="35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雇用関係にある労働者</w:t>
            </w:r>
          </w:p>
        </w:tc>
        <w:tc>
          <w:tcPr>
            <w:tcW w:type="dxa" w:w="4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雇用関係にない求職者等</w:t>
            </w:r>
          </w:p>
        </w:tc>
      </w:tr>
      <w:tr>
        <w:tc>
          <w:tcPr>
            <w:tcW w:type="dxa" w:w="19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場面</w:t>
            </w:r>
          </w:p>
        </w:tc>
        <w:tc>
          <w:tcPr>
            <w:tcW w:type="dxa" w:w="35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職場・出張・宴会・社内SNS 等</w:t>
            </w:r>
          </w:p>
        </w:tc>
        <w:tc>
          <w:tcPr>
            <w:tcW w:type="dxa" w:w="4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面接・説明会・社員訪問・OB/OG訪問・インターン・実習・オンライン</w:t>
            </w:r>
          </w:p>
        </w:tc>
      </w:tr>
      <w:tr>
        <w:tc>
          <w:tcPr>
            <w:tcW w:type="dxa" w:w="19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着目点</w:t>
            </w:r>
          </w:p>
        </w:tc>
        <w:tc>
          <w:tcPr>
            <w:tcW w:type="dxa" w:w="35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就業環境（対価型・環境型）</w:t>
            </w:r>
          </w:p>
        </w:tc>
        <w:tc>
          <w:tcPr>
            <w:tcW w:type="dxa" w:w="4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求職活動等の阻害・能力発揮への重大な悪影響・看過できない支障</w:t>
            </w:r>
          </w:p>
        </w:tc>
      </w:tr>
      <w:tr>
        <w:tc>
          <w:tcPr>
            <w:tcW w:type="dxa" w:w="19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特徴</w:t>
            </w:r>
          </w:p>
        </w:tc>
        <w:tc>
          <w:tcPr>
            <w:tcW w:type="dxa" w:w="35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上司・部下等の力関係</w:t>
            </w:r>
          </w:p>
        </w:tc>
        <w:tc>
          <w:tcPr>
            <w:tcW w:type="dxa" w:w="4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採否・内定・評価への影響を恐れ、より拒否しにくい</w:t>
            </w:r>
          </w:p>
        </w:tc>
      </w:tr>
    </w:tbl>
    <w:p>
      <w:pPr>
        <w:pStyle w:val="Heading1"/>
      </w:pPr>
      <w:r>
        <w:rPr>
          <w:rFonts w:ascii="Meiryo" w:cs="Meiryo" w:eastAsia="Meiryo" w:hAnsi="Meiryo"/>
        </w:rPr>
        <w:t xml:space="preserve">8. 公正な採用選考・性差別との違い（混同しない）</w:t>
      </w:r>
    </w:p>
    <w:p>
      <w:pPr>
        <w:spacing w:after="90" w:before="0" w:line="288"/>
      </w:pPr>
      <w:r>
        <w:rPr>
          <w:rFonts w:ascii="Meiryo" w:cs="Meiryo" w:eastAsia="Meiryo" w:hAnsi="Meiryo"/>
          <w:b w:val="false"/>
          <w:bCs w:val="false"/>
          <w:i w:val="false"/>
          <w:iCs w:val="false"/>
          <w:color w:val="263238"/>
          <w:sz w:val="21"/>
          <w:szCs w:val="21"/>
        </w:rPr>
        <w:t xml:space="preserve">採用面接で不適切な質問があっても、すべてを求職者等セクハラと説明してはいけません。少なくとも次の論点を区別します。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700"/>
        <w:gridCol w:w="4338"/>
        <w:gridCol w:w="2600"/>
      </w:tblGrid>
      <w:tr>
        <w:trPr>
          <w:tblHeader/>
        </w:trPr>
        <w:tc>
          <w:tcPr>
            <w:tcW w:type="dxa" w:w="27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類型</w:t>
            </w:r>
          </w:p>
        </w:tc>
        <w:tc>
          <w:tcPr>
            <w:tcW w:type="dxa" w:w="4338"/>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内容の例</w:t>
            </w:r>
          </w:p>
        </w:tc>
        <w:tc>
          <w:tcPr>
            <w:tcW w:type="dxa" w:w="26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主な根拠</w:t>
            </w:r>
          </w:p>
        </w:tc>
      </w:tr>
      <w:tr>
        <w:tc>
          <w:tcPr>
            <w:tcW w:type="dxa" w:w="27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B42318"/>
                <w:sz w:val="19"/>
                <w:szCs w:val="19"/>
              </w:rPr>
              <w:t xml:space="preserve">①求職者等セクハラ</w:t>
            </w:r>
          </w:p>
        </w:tc>
        <w:tc>
          <w:tcPr>
            <w:tcW w:type="dxa" w:w="43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性的経験・性的関係の要求・不要な身体接触 等</w:t>
            </w:r>
          </w:p>
        </w:tc>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告示第52号</w:t>
            </w:r>
          </w:p>
        </w:tc>
      </w:tr>
      <w:tr>
        <w:tc>
          <w:tcPr>
            <w:tcW w:type="dxa" w:w="27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16314F"/>
                <w:sz w:val="19"/>
                <w:szCs w:val="19"/>
              </w:rPr>
              <w:t xml:space="preserve">②性別を理由とする差別</w:t>
            </w:r>
          </w:p>
        </w:tc>
        <w:tc>
          <w:tcPr>
            <w:tcW w:type="dxa" w:w="43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女性だけに結婚・出産後の就業継続を尋ねる 等</w:t>
            </w:r>
          </w:p>
        </w:tc>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男女雇用機会均等法（募集・採用）</w:t>
            </w:r>
          </w:p>
        </w:tc>
      </w:tr>
      <w:tr>
        <w:tc>
          <w:tcPr>
            <w:tcW w:type="dxa" w:w="27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B58A3A"/>
                <w:sz w:val="19"/>
                <w:szCs w:val="19"/>
              </w:rPr>
              <w:t xml:space="preserve">③公正採用選考・個人情報</w:t>
            </w:r>
          </w:p>
        </w:tc>
        <w:tc>
          <w:tcPr>
            <w:tcW w:type="dxa" w:w="43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本籍・家族・宗教・支持政党など適性能力と無関係な事項の把握</w:t>
            </w:r>
          </w:p>
        </w:tc>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公正な採用選考／職業安定法</w:t>
            </w:r>
          </w:p>
        </w:tc>
      </w:tr>
      <w:tr>
        <w:tc>
          <w:tcPr>
            <w:tcW w:type="dxa" w:w="27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237A75"/>
                <w:sz w:val="19"/>
                <w:szCs w:val="19"/>
              </w:rPr>
              <w:t xml:space="preserve">④プライバシー／SOGI 等</w:t>
            </w:r>
          </w:p>
        </w:tc>
        <w:tc>
          <w:tcPr>
            <w:tcW w:type="dxa" w:w="43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私生活の過度な詮索、機微情報の暴露 等</w:t>
            </w:r>
          </w:p>
        </w:tc>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プライバシー保護／指針上の望ましい取組</w:t>
            </w:r>
          </w:p>
        </w:tc>
      </w:tr>
    </w:tbl>
    <w:p>
      <w:pPr>
        <w:spacing w:after="90" w:before="0" w:line="288"/>
      </w:pPr>
      <w:r>
        <w:rPr>
          <w:rFonts w:ascii="Meiryo" w:cs="Meiryo" w:eastAsia="Meiryo" w:hAnsi="Meiryo"/>
          <w:b/>
          <w:bCs/>
          <w:i w:val="false"/>
          <w:iCs w:val="false"/>
          <w:color w:val="263238"/>
          <w:sz w:val="21"/>
          <w:szCs w:val="21"/>
        </w:rPr>
        <w:t xml:space="preserve">研修では、法的類型の暗記よりも</w:t>
      </w:r>
      <w:r>
        <w:rPr>
          <w:rFonts w:ascii="Meiryo" w:cs="Meiryo" w:eastAsia="Meiryo" w:hAnsi="Meiryo"/>
          <w:b/>
          <w:bCs/>
          <w:i w:val="false"/>
          <w:iCs w:val="false"/>
          <w:color w:val="16314F"/>
          <w:sz w:val="21"/>
          <w:szCs w:val="21"/>
        </w:rPr>
        <w:t xml:space="preserve">「応募者の適性・能力および労働条件の確認に必要のない私的・性的な質問をしない」</w:t>
      </w:r>
      <w:r>
        <w:rPr>
          <w:rFonts w:ascii="Meiryo" w:cs="Meiryo" w:eastAsia="Meiryo" w:hAnsi="Meiryo"/>
          <w:b w:val="false"/>
          <w:bCs w:val="false"/>
          <w:i w:val="false"/>
          <w:iCs w:val="false"/>
          <w:color w:val="263238"/>
          <w:sz w:val="21"/>
          <w:szCs w:val="21"/>
        </w:rPr>
        <w:t xml:space="preserve">という行動に落とし込んでください。</w:t>
      </w:r>
    </w:p>
    <w:p>
      <w:pPr>
        <w:pStyle w:val="Heading2"/>
      </w:pPr>
      <w:r>
        <w:rPr>
          <w:rFonts w:ascii="Meiryo" w:cs="Meiryo" w:eastAsia="Meiryo" w:hAnsi="Meiryo"/>
        </w:rPr>
        <w:t xml:space="preserve">9. 面接時の注意</w:t>
      </w:r>
    </w:p>
    <w:p>
      <w:pPr>
        <w:spacing w:after="90" w:before="0" w:line="288"/>
      </w:pPr>
      <w:r>
        <w:rPr>
          <w:rFonts w:ascii="Meiryo" w:cs="Meiryo" w:eastAsia="Meiryo" w:hAnsi="Meiryo"/>
          <w:b w:val="false"/>
          <w:bCs w:val="false"/>
          <w:i w:val="false"/>
          <w:iCs w:val="false"/>
          <w:color w:val="263238"/>
          <w:sz w:val="21"/>
          <w:szCs w:val="21"/>
        </w:rPr>
        <w:t xml:space="preserve">性的な事実関係を尋ねること自体が「性的な言動」に当たり得ます。「営業適性の確認のため」等の意図があっても正当化されません。面接担当者がアドリブで私的質問を行わないよう、質問項目・評価基準・記録様式を標準化してくださ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2200"/>
        <w:gridCol w:w="4438"/>
      </w:tblGrid>
      <w:tr>
        <w:trPr>
          <w:tblHeader/>
        </w:trPr>
        <w:tc>
          <w:tcPr>
            <w:tcW w:type="dxa" w:w="30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避けたい質問</w:t>
            </w:r>
          </w:p>
        </w:tc>
        <w:tc>
          <w:tcPr>
            <w:tcW w:type="dxa" w:w="22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確認したい目的</w:t>
            </w:r>
          </w:p>
        </w:tc>
        <w:tc>
          <w:tcPr>
            <w:tcW w:type="dxa" w:w="4438"/>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適切な質問（全員に同条件で）</w:t>
            </w:r>
          </w:p>
        </w:tc>
      </w:tr>
      <w:tr>
        <w:tc>
          <w:tcPr>
            <w:tcW w:type="dxa" w:w="30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結婚・出産の予定はありますか</w:t>
            </w:r>
          </w:p>
        </w:tc>
        <w:tc>
          <w:tcPr>
            <w:tcW w:type="dxa" w:w="22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継続して働く意思</w:t>
            </w:r>
          </w:p>
        </w:tc>
        <w:tc>
          <w:tcPr>
            <w:tcW w:type="dxa" w:w="4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当社でどんな仕事に取り組みたいですか／今後伸ばしたい力は</w:t>
            </w:r>
          </w:p>
        </w:tc>
      </w:tr>
      <w:tr>
        <w:tc>
          <w:tcPr>
            <w:tcW w:type="dxa" w:w="30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（女性だけに）出産後も働きますか</w:t>
            </w:r>
          </w:p>
        </w:tc>
        <w:tc>
          <w:tcPr>
            <w:tcW w:type="dxa" w:w="22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勤務時間・勤務地</w:t>
            </w:r>
          </w:p>
        </w:tc>
        <w:tc>
          <w:tcPr>
            <w:tcW w:type="dxa" w:w="4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本職種は○時〜○時です。勤務可能ですか／全国転勤の可能性があります</w:t>
            </w:r>
          </w:p>
        </w:tc>
      </w:tr>
      <w:tr>
        <w:tc>
          <w:tcPr>
            <w:tcW w:type="dxa" w:w="30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家族の職業／宗教／支持政党は</w:t>
            </w:r>
          </w:p>
        </w:tc>
        <w:tc>
          <w:tcPr>
            <w:tcW w:type="dxa" w:w="22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把握しない</w:t>
            </w:r>
          </w:p>
        </w:tc>
        <w:tc>
          <w:tcPr>
            <w:tcW w:type="dxa" w:w="4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（適性・能力と無関係。質問しない）</w:t>
            </w:r>
          </w:p>
        </w:tc>
      </w:tr>
      <w:tr>
        <w:tc>
          <w:tcPr>
            <w:tcW w:type="dxa" w:w="30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持病はありますか（一律に）</w:t>
            </w:r>
          </w:p>
        </w:tc>
        <w:tc>
          <w:tcPr>
            <w:tcW w:type="dxa" w:w="22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必要な配慮の有無</w:t>
            </w:r>
          </w:p>
        </w:tc>
        <w:tc>
          <w:tcPr>
            <w:tcW w:type="dxa" w:w="4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必要性・時期・方法・取扱範囲を人事/法務と確認。全員一律に私的な病歴は尋ねない</w:t>
            </w:r>
          </w:p>
        </w:tc>
      </w:tr>
    </w:tbl>
    <w:p>
      <w:pPr>
        <w:pStyle w:val="Heading2"/>
      </w:pPr>
      <w:r>
        <w:rPr>
          <w:rFonts w:ascii="Meiryo" w:cs="Meiryo" w:eastAsia="Meiryo" w:hAnsi="Meiryo"/>
        </w:rPr>
        <w:t xml:space="preserve">10. 説明会・採用イベントの注意</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少人数の場でも、不要な身体接触（肩・腰等）をしない。距離感に配慮する。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性的な内容を含むポスターの掲示・画面表示等を行わない。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懇親の場でも、性的な冗談・私生活の詮索をしない。</w:t>
      </w:r>
    </w:p>
    <w:p>
      <w:pPr>
        <w:pStyle w:val="Heading2"/>
      </w:pPr>
      <w:r>
        <w:rPr>
          <w:rFonts w:ascii="Meiryo" w:cs="Meiryo" w:eastAsia="Meiryo" w:hAnsi="Meiryo"/>
        </w:rPr>
        <w:t xml:space="preserve">11. 社員訪問・OB・OG訪問の注意</w:t>
      </w:r>
    </w:p>
    <w:p>
      <w:pPr>
        <w:spacing w:after="90" w:before="0" w:line="288"/>
      </w:pPr>
      <w:r>
        <w:rPr>
          <w:rFonts w:ascii="Meiryo" w:cs="Meiryo" w:eastAsia="Meiryo" w:hAnsi="Meiryo"/>
          <w:b w:val="false"/>
          <w:bCs w:val="false"/>
          <w:i w:val="false"/>
          <w:iCs w:val="false"/>
          <w:color w:val="263238"/>
          <w:sz w:val="21"/>
          <w:szCs w:val="21"/>
        </w:rPr>
        <w:t xml:space="preserve">「労働者への訪問」は求職活動等に含まれ得ます。会社公認か私的訪問かを確認し、承認・届出のルールに従ってください。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採否への影響（「推薦できる」等）をほのめかさない。見返りに私的・性的な関係を求めない。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ホテル・自宅・個室へ誘わない。私的SNSへ移行しない。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求職者等の連絡先・写真・相談内容を私的に保存しない。</w:t>
      </w:r>
    </w:p>
    <w:p>
      <w:pPr>
        <w:pStyle w:val="Heading2"/>
      </w:pPr>
      <w:r>
        <w:rPr>
          <w:rFonts w:ascii="Meiryo" w:cs="Meiryo" w:eastAsia="Meiryo" w:hAnsi="Meiryo"/>
        </w:rPr>
        <w:t xml:space="preserve">12. リクルーター面談の注意</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連絡は会社のシステム・指定手段で行い、私的SNS・個人番号に切り替えない。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選考相談を口実にした飲酒・私的な食事の誘いをしない。断られたら繰り返さない。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「自分が推せる」等、採否への影響を示唆しない。やり取りを会社で記録し、担当変更時はアクセスを停止・引継ぐ。</w:t>
      </w:r>
    </w:p>
    <w:p>
      <w:pPr>
        <w:pStyle w:val="Heading1"/>
      </w:pPr>
      <w:r>
        <w:rPr>
          <w:rFonts w:ascii="Meiryo" w:cs="Meiryo" w:eastAsia="Meiryo" w:hAnsi="Meiryo"/>
        </w:rPr>
        <w:t xml:space="preserve">13. インターンシップ・実習中の注意</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受入れ前に、責任者・指導担当者・活動内容・実施時間・休憩・更衣/宿泊の有無・懇親会の有無・連絡ルール・相談窓口を決めておく。</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評価権限を背景に私的・性的な関係を迫らない（「評価を書くのは私」等の言動をしない）。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技術指導に必要のない不要な身体接触をしない。二人きり・深夜・宿泊を伴う場面のルールを定める。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実習生・インターン生を雑用係や私的な世話役として扱わない。求職者等として尊重する。</w:t>
      </w:r>
    </w:p>
    <w:p>
      <w:pPr>
        <w:pStyle w:val="Heading2"/>
      </w:pPr>
      <w:r>
        <w:rPr>
          <w:rFonts w:ascii="Meiryo" w:cs="Meiryo" w:eastAsia="Meiryo" w:hAnsi="Meiryo"/>
        </w:rPr>
        <w:t xml:space="preserve">14. オンライン面談・SNSの注意</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オンライン面談中の容姿への言及、住居・私生活の詮索、面談後の写真要求をしない。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私的アカウント・個人連絡先での連絡も求職活動等に含まれ得る。深夜・執拗な連投を避ける。</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bCs/>
                <w:color w:val="16314F"/>
                <w:sz w:val="18"/>
                <w:szCs w:val="18"/>
              </w:rPr>
              <w:t xml:space="preserve">【指針の実施例】 </w:t>
            </w:r>
            <w:r>
              <w:rPr>
                <w:rFonts w:ascii="Meiryo" w:cs="Meiryo" w:eastAsia="Meiryo" w:hAnsi="Meiryo"/>
                <w:b w:val="false"/>
                <w:bCs w:val="false"/>
                <w:i w:val="false"/>
                <w:iCs w:val="false"/>
                <w:color w:val="263238"/>
                <w:sz w:val="21"/>
                <w:szCs w:val="21"/>
              </w:rPr>
              <w:t xml:space="preserve">面談時間・場所・実施体制・やり取りに用いるSNSの種類を会社が定めることは指針上例示されています。</w:t>
            </w:r>
            <w:r>
              <w:rPr>
                <w:rFonts w:ascii="Meiryo" w:cs="Meiryo" w:eastAsia="Meiryo" w:hAnsi="Meiryo"/>
                <w:b/>
                <w:bCs/>
                <w:i w:val="false"/>
                <w:iCs w:val="false"/>
                <w:color w:val="263238"/>
                <w:sz w:val="21"/>
                <w:szCs w:val="21"/>
              </w:rPr>
              <w:t xml:space="preserve">「私的SNSの利用が法律で一律に禁止」という意味ではありません。</w:t>
            </w:r>
            <w:r>
              <w:rPr>
                <w:rFonts w:ascii="Meiryo" w:cs="Meiryo" w:eastAsia="Meiryo" w:hAnsi="Meiryo"/>
                <w:b w:val="false"/>
                <w:bCs w:val="false"/>
                <w:i w:val="false"/>
                <w:iCs w:val="false"/>
                <w:color w:val="263238"/>
                <w:sz w:val="21"/>
                <w:szCs w:val="21"/>
              </w:rPr>
              <w:t xml:space="preserve">自社の具体ルールとして禁止・制限できます。</w:t>
            </w:r>
          </w:p>
        </w:tc>
      </w:tr>
    </w:tbl>
    <w:p>
      <w:pPr>
        <w:pStyle w:val="Heading2"/>
      </w:pPr>
      <w:r>
        <w:rPr>
          <w:rFonts w:ascii="Meiryo" w:cs="Meiryo" w:eastAsia="Meiryo" w:hAnsi="Meiryo"/>
        </w:rPr>
        <w:t xml:space="preserve">15. 内々定・内定後、入社前の注意</w:t>
      </w:r>
    </w:p>
    <w:p>
      <w:pPr>
        <w:spacing w:after="90" w:before="0" w:line="288"/>
      </w:pPr>
      <w:r>
        <w:rPr>
          <w:rFonts w:ascii="Meiryo" w:cs="Meiryo" w:eastAsia="Meiryo" w:hAnsi="Meiryo"/>
          <w:b w:val="false"/>
          <w:bCs w:val="false"/>
          <w:i w:val="false"/>
          <w:iCs w:val="false"/>
          <w:color w:val="263238"/>
          <w:sz w:val="21"/>
          <w:szCs w:val="21"/>
        </w:rPr>
        <w:t xml:space="preserve">内々定・内定後の「すべての私的交流」が当然に法律上の求職活動等になるわけではありません。一方で、採用担当者が参加を勧め費用を会社が負担した懇親会の二次会などは、会社の関与が認められやすく、「任意・会社は無関係」という形式だけで済ませることはできません。内々定後も相手は拒否しにくいことに配慮してください。</w:t>
      </w:r>
    </w:p>
    <w:p>
      <w:pPr>
        <w:pStyle w:val="Heading1"/>
      </w:pPr>
      <w:r>
        <w:rPr>
          <w:rFonts w:ascii="Meiryo" w:cs="Meiryo" w:eastAsia="Meiryo" w:hAnsi="Meiryo"/>
        </w:rPr>
        <w:t xml:space="preserve">16. 相談を受けた場合の初動</w:t>
      </w:r>
    </w:p>
    <w:p>
      <w:pPr>
        <w:pStyle w:val="ListParagraph"/>
        <w:numPr>
          <w:ilvl w:val="0"/>
          <w:numId w:val="3"/>
        </w:numPr>
        <w:spacing w:after="50" w:line="280"/>
      </w:pPr>
      <w:r>
        <w:rPr>
          <w:rFonts w:ascii="Meiryo" w:cs="Meiryo" w:eastAsia="Meiryo" w:hAnsi="Meiryo"/>
          <w:b w:val="false"/>
          <w:bCs w:val="false"/>
          <w:i w:val="false"/>
          <w:iCs w:val="false"/>
          <w:color w:val="263238"/>
          <w:sz w:val="21"/>
          <w:szCs w:val="21"/>
        </w:rPr>
        <w:t xml:space="preserve">安全・健康上の緊急性を確認する。</w:t>
      </w:r>
    </w:p>
    <w:p>
      <w:pPr>
        <w:pStyle w:val="ListParagraph"/>
        <w:numPr>
          <w:ilvl w:val="0"/>
          <w:numId w:val="3"/>
        </w:numPr>
        <w:spacing w:after="50" w:line="280"/>
      </w:pPr>
      <w:r>
        <w:rPr>
          <w:rFonts w:ascii="Meiryo" w:cs="Meiryo" w:eastAsia="Meiryo" w:hAnsi="Meiryo"/>
          <w:b w:val="false"/>
          <w:bCs w:val="false"/>
          <w:i w:val="false"/>
          <w:iCs w:val="false"/>
          <w:color w:val="263238"/>
          <w:sz w:val="21"/>
          <w:szCs w:val="21"/>
        </w:rPr>
        <w:t xml:space="preserve">相談者の希望（誰に・どこまで共有してよいか、選考をどうしたいか）を確認する。</w:t>
      </w:r>
    </w:p>
    <w:p>
      <w:pPr>
        <w:pStyle w:val="ListParagraph"/>
        <w:numPr>
          <w:ilvl w:val="0"/>
          <w:numId w:val="3"/>
        </w:numPr>
        <w:spacing w:after="50" w:line="280"/>
      </w:pPr>
      <w:r>
        <w:rPr>
          <w:rFonts w:ascii="Meiryo" w:cs="Meiryo" w:eastAsia="Meiryo" w:hAnsi="Meiryo"/>
          <w:b w:val="false"/>
          <w:bCs w:val="false"/>
          <w:i w:val="false"/>
          <w:iCs w:val="false"/>
          <w:color w:val="263238"/>
          <w:sz w:val="21"/>
          <w:szCs w:val="21"/>
        </w:rPr>
        <w:t xml:space="preserve">相談したこと自体を採否評価に使わないことを伝える。相談と採否判断を分ける。</w:t>
      </w:r>
    </w:p>
    <w:p>
      <w:pPr>
        <w:pStyle w:val="ListParagraph"/>
        <w:numPr>
          <w:ilvl w:val="0"/>
          <w:numId w:val="3"/>
        </w:numPr>
        <w:spacing w:after="50" w:line="280"/>
      </w:pPr>
      <w:r>
        <w:rPr>
          <w:rFonts w:ascii="Meiryo" w:cs="Meiryo" w:eastAsia="Meiryo" w:hAnsi="Meiryo"/>
          <w:b w:val="false"/>
          <w:bCs w:val="false"/>
          <w:i w:val="false"/>
          <w:iCs w:val="false"/>
          <w:color w:val="263238"/>
          <w:sz w:val="21"/>
          <w:szCs w:val="21"/>
        </w:rPr>
        <w:t xml:space="preserve">人事部門だけで抱え込まず、相談窓口・所定のルートへつなぐ。</w:t>
      </w:r>
    </w:p>
    <w:p>
      <w:pPr>
        <w:pStyle w:val="ListParagraph"/>
        <w:numPr>
          <w:ilvl w:val="0"/>
          <w:numId w:val="3"/>
        </w:numPr>
        <w:spacing w:after="50" w:line="280"/>
      </w:pPr>
      <w:r>
        <w:rPr>
          <w:rFonts w:ascii="Meiryo" w:cs="Meiryo" w:eastAsia="Meiryo" w:hAnsi="Meiryo"/>
          <w:b w:val="false"/>
          <w:bCs w:val="false"/>
          <w:i w:val="false"/>
          <w:iCs w:val="false"/>
          <w:color w:val="263238"/>
          <w:sz w:val="21"/>
          <w:szCs w:val="21"/>
        </w:rPr>
        <w:t xml:space="preserve">見聞きした内容を噂として共有しない。プライバシーを守る。</w:t>
      </w:r>
    </w:p>
    <w:p>
      <w:pPr>
        <w:pStyle w:val="Heading2"/>
      </w:pPr>
      <w:r>
        <w:rPr>
          <w:rFonts w:ascii="Meiryo" w:cs="Meiryo" w:eastAsia="Meiryo" w:hAnsi="Meiryo"/>
        </w:rPr>
        <w:t xml:space="preserve">17. 相談窓口</w:t>
      </w:r>
    </w:p>
    <w:p>
      <w:pPr>
        <w:spacing w:after="90" w:before="0" w:line="288"/>
      </w:pPr>
      <w:r>
        <w:rPr>
          <w:rFonts w:ascii="Meiryo" w:cs="Meiryo" w:eastAsia="Meiryo" w:hAnsi="Meiryo"/>
          <w:b/>
          <w:bCs/>
          <w:color w:val="B58A3A"/>
          <w:sz w:val="18"/>
          <w:szCs w:val="18"/>
        </w:rPr>
        <w:t xml:space="preserve">【義務】 </w:t>
      </w:r>
      <w:r>
        <w:rPr>
          <w:rFonts w:ascii="Meiryo" w:cs="Meiryo" w:eastAsia="Meiryo" w:hAnsi="Meiryo"/>
          <w:b w:val="false"/>
          <w:bCs w:val="false"/>
          <w:i w:val="false"/>
          <w:iCs w:val="false"/>
          <w:color w:val="263238"/>
          <w:sz w:val="21"/>
          <w:szCs w:val="21"/>
        </w:rPr>
        <w:t xml:space="preserve">相談窓口をあらかじめ定め、求職者等に周知します（採用サイト・パンフレット等）。発生のおそれがある場合や、該当するか微妙な場合も広く相談に対応します。</w:t>
      </w:r>
    </w:p>
    <w:p>
      <w:pPr>
        <w:spacing w:after="90" w:before="0" w:line="288"/>
      </w:pPr>
      <w:r>
        <w:rPr>
          <w:rFonts w:ascii="Meiryo" w:cs="Meiryo" w:eastAsia="Meiryo" w:hAnsi="Meiryo"/>
          <w:b/>
          <w:bCs/>
          <w:color w:val="16314F"/>
          <w:sz w:val="18"/>
          <w:szCs w:val="18"/>
        </w:rPr>
        <w:t xml:space="preserve">【指針の実施例】 </w:t>
      </w:r>
      <w:r>
        <w:rPr>
          <w:rFonts w:ascii="Meiryo" w:cs="Meiryo" w:eastAsia="Meiryo" w:hAnsi="Meiryo"/>
          <w:b w:val="false"/>
          <w:bCs w:val="false"/>
          <w:i w:val="false"/>
          <w:iCs w:val="false"/>
          <w:color w:val="263238"/>
          <w:sz w:val="21"/>
          <w:szCs w:val="21"/>
        </w:rPr>
        <w:t xml:space="preserve">求職者等は人事担当者への相談をためらうことも想定されるため、人事担当者以外の者を相談担当に指定することや、外部機関への委託も「考えられる」例として示されています。</w:t>
      </w:r>
      <w:r>
        <w:rPr>
          <w:rFonts w:ascii="Meiryo" w:cs="Meiryo" w:eastAsia="Meiryo" w:hAnsi="Meiryo"/>
          <w:b/>
          <w:bCs/>
          <w:i w:val="false"/>
          <w:iCs w:val="false"/>
          <w:color w:val="263238"/>
          <w:sz w:val="21"/>
          <w:szCs w:val="21"/>
        </w:rPr>
        <w:t xml:space="preserve">人事以外の窓口が全社一律で必須というわけではありません。</w:t>
      </w:r>
    </w:p>
    <w:p>
      <w:pPr>
        <w:pStyle w:val="Heading2"/>
      </w:pPr>
      <w:r>
        <w:rPr>
          <w:rFonts w:ascii="Meiryo" w:cs="Meiryo" w:eastAsia="Meiryo" w:hAnsi="Meiryo"/>
        </w:rPr>
        <w:t xml:space="preserve">18. 事実確認</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相談者と行為者の双方から、迅速かつ正確に事実関係を確認する。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主張が一致せず確認が困難な場合は、必要に応じて第三者からも聴取する。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相談者の主張だけで行為者を一方的に処分しない。行為者の否認だけで相談を虚偽と決めつけない。</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メール・SNS・面談記録・採用管理システム・入退館記録等を確認し、選考判断とは切り分ける。</w:t>
      </w:r>
    </w:p>
    <w:p>
      <w:pPr>
        <w:pStyle w:val="Heading2"/>
      </w:pPr>
      <w:r>
        <w:rPr>
          <w:rFonts w:ascii="Meiryo" w:cs="Meiryo" w:eastAsia="Meiryo" w:hAnsi="Meiryo"/>
        </w:rPr>
        <w:t xml:space="preserve">19. プライバシー保護</w:t>
      </w:r>
    </w:p>
    <w:p>
      <w:pPr>
        <w:spacing w:after="90" w:before="0" w:line="288"/>
      </w:pPr>
      <w:r>
        <w:rPr>
          <w:rFonts w:ascii="Meiryo" w:cs="Meiryo" w:eastAsia="Meiryo" w:hAnsi="Meiryo"/>
          <w:b/>
          <w:bCs/>
          <w:color w:val="B58A3A"/>
          <w:sz w:val="18"/>
          <w:szCs w:val="18"/>
        </w:rPr>
        <w:t xml:space="preserve">【義務】 </w:t>
      </w:r>
      <w:r>
        <w:rPr>
          <w:rFonts w:ascii="Meiryo" w:cs="Meiryo" w:eastAsia="Meiryo" w:hAnsi="Meiryo"/>
          <w:b w:val="false"/>
          <w:bCs w:val="false"/>
          <w:i w:val="false"/>
          <w:iCs w:val="false"/>
          <w:color w:val="263238"/>
          <w:sz w:val="21"/>
          <w:szCs w:val="21"/>
        </w:rPr>
        <w:t xml:space="preserve">相談者・行為者等の情報はプライバシーに属します。保護のためのマニュアルを定め、担当者を研修し、保護措置を講じている旨を労働者・求職者等へ周知します。</w:t>
      </w:r>
    </w:p>
    <w:p>
      <w:pPr>
        <w:pStyle w:val="Heading2"/>
      </w:pPr>
      <w:r>
        <w:rPr>
          <w:rFonts w:ascii="Meiryo" w:cs="Meiryo" w:eastAsia="Meiryo" w:hAnsi="Meiryo"/>
        </w:rPr>
        <w:t xml:space="preserve">20. 不利益取扱いの防止</w:t>
      </w:r>
    </w:p>
    <w:p>
      <w:pPr>
        <w:spacing w:after="90" w:before="0" w:line="288"/>
      </w:pPr>
      <w:r>
        <w:rPr>
          <w:rFonts w:ascii="Meiryo" w:cs="Meiryo" w:eastAsia="Meiryo" w:hAnsi="Meiryo"/>
          <w:b/>
          <w:bCs/>
          <w:color w:val="B58A3A"/>
          <w:sz w:val="18"/>
          <w:szCs w:val="18"/>
        </w:rPr>
        <w:t xml:space="preserve">【義務】 </w:t>
      </w:r>
      <w:r>
        <w:rPr>
          <w:rFonts w:ascii="Meiryo" w:cs="Meiryo" w:eastAsia="Meiryo" w:hAnsi="Meiryo"/>
          <w:b w:val="false"/>
          <w:bCs w:val="false"/>
          <w:i w:val="false"/>
          <w:iCs w:val="false"/>
          <w:color w:val="263238"/>
          <w:sz w:val="21"/>
          <w:szCs w:val="21"/>
        </w:rPr>
        <w:t xml:space="preserve">労働者が事実関係の確認等に協力したこと等を理由として、解雇その他の不利益な取扱いをしてはならない旨を規程に定め、労働者に周知・啓発します。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B42318"/>
                <w:sz w:val="21"/>
                <w:szCs w:val="21"/>
              </w:rPr>
              <w:t xml:space="preserve">この法律上の不利益取扱い禁止は「労働者」が対象</w:t>
            </w:r>
            <w:r>
              <w:rPr>
                <w:rFonts w:ascii="Meiryo" w:cs="Meiryo" w:eastAsia="Meiryo" w:hAnsi="Meiryo"/>
                <w:b w:val="false"/>
                <w:bCs w:val="false"/>
                <w:i w:val="false"/>
                <w:iCs w:val="false"/>
                <w:color w:val="263238"/>
                <w:sz w:val="21"/>
                <w:szCs w:val="21"/>
              </w:rPr>
              <w:t xml:space="preserve">であり、求職者本人の採否を直接規定するものではありません。労働者に対する不利益取扱い禁止と混同しないでください。</w:t>
            </w:r>
          </w:p>
          <w:p>
            <w:pPr>
              <w:spacing w:after="40" w:line="276"/>
              <w:ind w:left="60"/>
            </w:pPr>
            <w:r>
              <w:rPr>
                <w:rFonts w:ascii="Meiryo" w:cs="Meiryo" w:eastAsia="Meiryo" w:hAnsi="Meiryo"/>
                <w:b/>
                <w:bCs/>
                <w:color w:val="2F6B4F"/>
                <w:sz w:val="18"/>
                <w:szCs w:val="18"/>
              </w:rPr>
              <w:t xml:space="preserve">【望ましい】 </w:t>
            </w:r>
            <w:r>
              <w:rPr>
                <w:rFonts w:ascii="Meiryo" w:cs="Meiryo" w:eastAsia="Meiryo" w:hAnsi="Meiryo"/>
                <w:b w:val="false"/>
                <w:bCs w:val="false"/>
                <w:i w:val="false"/>
                <w:iCs w:val="false"/>
                <w:color w:val="263238"/>
                <w:sz w:val="21"/>
                <w:szCs w:val="21"/>
              </w:rPr>
              <w:t xml:space="preserve">一方、相談制度の実効性と公正な選考を確保するため、「求職者等が相談したことを採否上不利益に扱わない」という自社方針を定め、相談担当者と採用判断者の情報を適切に分離することが推奨されます。</w:t>
            </w:r>
          </w:p>
        </w:tc>
      </w:tr>
    </w:tbl>
    <w:p>
      <w:pPr>
        <w:pStyle w:val="Heading1"/>
      </w:pPr>
      <w:r>
        <w:rPr>
          <w:rFonts w:ascii="Meiryo" w:cs="Meiryo" w:eastAsia="Meiryo" w:hAnsi="Meiryo"/>
        </w:rPr>
        <w:t xml:space="preserve">21. 事後対応</w:t>
      </w:r>
    </w:p>
    <w:p>
      <w:pPr>
        <w:spacing w:after="90" w:before="0" w:line="288"/>
      </w:pPr>
      <w:r>
        <w:rPr>
          <w:rFonts w:ascii="Meiryo" w:cs="Meiryo" w:eastAsia="Meiryo" w:hAnsi="Meiryo"/>
          <w:b w:val="false"/>
          <w:bCs w:val="false"/>
          <w:i w:val="false"/>
          <w:iCs w:val="false"/>
          <w:color w:val="263238"/>
          <w:sz w:val="21"/>
          <w:szCs w:val="21"/>
        </w:rPr>
        <w:t xml:space="preserve">事実が確認できた場合は、被害者への配慮措置（引き離し・担当者変更・必要に応じた謝罪・健康面の配慮など）と、行為者への措置（就業規則に基づく懲戒その他、引き離し・謝罪等）を、事案の内容・状況に応じて適正に行います。再発防止に向けた措置（方針の再周知・研修等）も講じ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4D7B5" w:sz="6"/>
              <w:left w:val="single" w:color="E4D7B5" w:sz="6"/>
              <w:bottom w:val="single" w:color="E4D7B5" w:sz="6"/>
              <w:right w:val="single" w:color="E4D7B5" w:sz="6"/>
            </w:tcBorders>
            <w:shd w:fill="F6F0E2"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すべての事案で懲戒・謝罪が必要というわけではありません。</w:t>
            </w:r>
          </w:p>
          <w:p>
            <w:pPr>
              <w:spacing w:after="40" w:line="276"/>
              <w:ind w:left="60"/>
            </w:pPr>
            <w:r>
              <w:rPr>
                <w:rFonts w:ascii="Meiryo" w:cs="Meiryo" w:eastAsia="Meiryo" w:hAnsi="Meiryo"/>
                <w:b w:val="false"/>
                <w:bCs w:val="false"/>
                <w:i w:val="false"/>
                <w:iCs w:val="false"/>
                <w:color w:val="263238"/>
                <w:sz w:val="21"/>
                <w:szCs w:val="21"/>
              </w:rPr>
              <w:t xml:space="preserve">事実が確認できなかった場合も、方針の再周知・研修等、再発防止に向けた措置を同様に講じます。</w:t>
            </w:r>
            <w:r>
              <w:rPr>
                <w:rFonts w:ascii="Meiryo" w:cs="Meiryo" w:eastAsia="Meiryo" w:hAnsi="Meiryo"/>
                <w:b/>
                <w:bCs/>
                <w:i w:val="false"/>
                <w:iCs w:val="false"/>
                <w:color w:val="B42318"/>
                <w:sz w:val="21"/>
                <w:szCs w:val="21"/>
              </w:rPr>
              <w:t xml:space="preserve">「何もしなくてよい」とは考えないでください。</w:t>
            </w:r>
          </w:p>
        </w:tc>
      </w:tr>
    </w:tbl>
    <w:p>
      <w:pPr>
        <w:pStyle w:val="Heading2"/>
      </w:pPr>
      <w:r>
        <w:rPr>
          <w:rFonts w:ascii="Meiryo" w:cs="Meiryo" w:eastAsia="Meiryo" w:hAnsi="Meiryo"/>
        </w:rPr>
        <w:t xml:space="preserve">22. 2026年10月1日施行事項（要点）</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rPr>
          <w:tblHeader/>
        </w:trPr>
        <w:tc>
          <w:tcPr>
            <w:tcW w:type="dxa" w:w="2600"/>
            <w:tcBorders>
              <w:top w:val="single" w:color="C9D2DB" w:sz="4"/>
              <w:left w:val="single" w:color="C9D2DB" w:sz="4"/>
              <w:bottom w:val="single" w:color="C9D2DB" w:sz="4"/>
              <w:right w:val="single" w:color="C9D2DB" w:sz="4"/>
            </w:tcBorders>
            <w:shd w:fill="237A75"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区分</w:t>
            </w:r>
          </w:p>
        </w:tc>
        <w:tc>
          <w:tcPr>
            <w:tcW w:type="dxa" w:w="7038"/>
            <w:tcBorders>
              <w:top w:val="single" w:color="C9D2DB" w:sz="4"/>
              <w:left w:val="single" w:color="C9D2DB" w:sz="4"/>
              <w:bottom w:val="single" w:color="C9D2DB" w:sz="4"/>
              <w:right w:val="single" w:color="C9D2DB" w:sz="4"/>
            </w:tcBorders>
            <w:shd w:fill="237A75"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内容</w:t>
            </w:r>
          </w:p>
        </w:tc>
      </w:tr>
      <w:tr>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①方針の明確化・周知</w:t>
            </w:r>
          </w:p>
        </w:tc>
        <w:tc>
          <w:tcPr>
            <w:tcW w:type="dxa" w:w="70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禁止方針・対処方針を就業規則等に定め周知。求職活動等のルールも明確化・周知。研修等の実施。</w:t>
            </w:r>
          </w:p>
        </w:tc>
      </w:tr>
      <w:tr>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②相談体制の整備</w:t>
            </w:r>
          </w:p>
        </w:tc>
        <w:tc>
          <w:tcPr>
            <w:tcW w:type="dxa" w:w="70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相談窓口を定め求職者等に周知。柔軟・適切に対応。連携・マニュアル・担当者研修。</w:t>
            </w:r>
          </w:p>
        </w:tc>
      </w:tr>
      <w:tr>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③事後の迅速・適切な対応</w:t>
            </w:r>
          </w:p>
        </w:tc>
        <w:tc>
          <w:tcPr>
            <w:tcW w:type="dxa" w:w="70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事実確認・被害者配慮・行為者措置・再発防止。</w:t>
            </w:r>
          </w:p>
        </w:tc>
      </w:tr>
      <w:tr>
        <w:tc>
          <w:tcPr>
            <w:tcW w:type="dxa" w:w="26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④併せて講ずべき措置</w:t>
            </w:r>
          </w:p>
        </w:tc>
        <w:tc>
          <w:tcPr>
            <w:tcW w:type="dxa" w:w="70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プライバシー保護／（労働者の）不利益取扱い禁止。</w:t>
            </w:r>
          </w:p>
        </w:tc>
      </w:tr>
    </w:tbl>
    <w:p>
      <w:pPr>
        <w:pStyle w:val="Heading1"/>
      </w:pPr>
      <w:r>
        <w:rPr>
          <w:rFonts w:ascii="Meiryo" w:cs="Meiryo" w:eastAsia="Meiryo" w:hAnsi="Meiryo"/>
        </w:rPr>
        <w:t xml:space="preserve">23. 自社ルール記入欄（要・自社記入）</w:t>
      </w:r>
    </w:p>
    <w:p>
      <w:pPr>
        <w:spacing w:after="90" w:before="0" w:line="288"/>
      </w:pPr>
      <w:r>
        <w:rPr>
          <w:rFonts w:ascii="Meiryo" w:cs="Meiryo" w:eastAsia="Meiryo" w:hAnsi="Meiryo"/>
          <w:b w:val="false"/>
          <w:bCs w:val="false"/>
          <w:i w:val="false"/>
          <w:iCs w:val="false"/>
          <w:color w:val="263238"/>
          <w:sz w:val="21"/>
          <w:szCs w:val="21"/>
        </w:rPr>
        <w:t xml:space="preserve">以下は自社の規程・運用に合わせて記入してください。架空の連絡先は記載せず、未整備の項目は整備予定として管理します。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禁止方針・対処方針の規程名</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（就業規則・服務規律・懲戒規程 等）</w:t>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求職者等向け 相談窓口</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（担当・連絡先・受付方法）</w:t>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採用担当者向け 相談窓口</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人事以外／外部の相談窓口</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匿名相談の可否</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面談の時間帯・場所・実施体制のルール</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使用可能な連絡手段（メール／システム／SNS）</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社員訪問・OB/OG訪問・リクルーターのルール</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インターン・実習受入れのルール</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内定者懇親会のルール</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大学等との連携窓口</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役員・採用責任者が行為者と指摘された場合の報告ルート</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緊急時の連絡先</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施行（2026/10/1）に向けた規程改定状況</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pPr>
        <w:spacing w:after="12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参考（厚生労働省 一次資料）</w:t>
            </w:r>
          </w:p>
          <w:p>
            <w:pPr>
              <w:spacing w:after="40" w:line="276"/>
              <w:ind w:left="60"/>
            </w:pPr>
            <w:r>
              <w:rPr>
                <w:rFonts w:ascii="Meiryo" w:cs="Meiryo" w:eastAsia="Meiryo" w:hAnsi="Meiryo"/>
                <w:b w:val="false"/>
                <w:bCs w:val="false"/>
                <w:i w:val="false"/>
                <w:iCs w:val="false"/>
                <w:color w:val="263238"/>
                <w:sz w:val="21"/>
                <w:szCs w:val="21"/>
              </w:rPr>
              <w:t xml:space="preserve">改正男女雇用機会均等法（令和7年法律第63号）／求職活動等における性的な言動に起因する問題に関して雇用管理上講ずべき措置等についての指針（令和8年厚生労働省告示第52号）</w:t>
            </w:r>
          </w:p>
          <w:p>
            <w:pPr>
              <w:spacing w:after="40" w:line="276"/>
              <w:ind w:left="60"/>
            </w:pPr>
            <w:r>
              <w:rPr>
                <w:rFonts w:ascii="Meiryo" w:cs="Meiryo" w:eastAsia="Meiryo" w:hAnsi="Meiryo"/>
                <w:b w:val="false"/>
                <w:bCs w:val="false"/>
                <w:i w:val="false"/>
                <w:iCs w:val="false"/>
                <w:color w:val="263238"/>
                <w:sz w:val="21"/>
                <w:szCs w:val="21"/>
              </w:rPr>
              <w:t xml:space="preserve">公正な採用選考の基本（厚生労働省）／雇用における男女の均等な機会と待遇の確保（厚生労働省）</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FE5" w:sz="4" w:space="6"/>
      </w:pBdr>
      <w:tabs>
        <w:tab w:val="right" w:pos="9638"/>
      </w:tabs>
    </w:pPr>
    <w:r>
      <w:rPr>
        <w:rFonts w:ascii="Meiryo" w:cs="Meiryo" w:eastAsia="Meiryo" w:hAnsi="Meiryo"/>
        <w:color w:val="5B6772"/>
        <w:sz w:val="16"/>
        <w:szCs w:val="16"/>
      </w:rPr>
      <w:t xml:space="preserve">Legal GPT ｜ 第6回 求職者等セクハラ ハンドブック</w:t>
    </w:r>
    <w:r>
      <w:rPr>
        <w:rFonts w:ascii="Meiryo" w:cs="Meiryo" w:eastAsia="Meiryo" w:hAnsi="Meiryo"/>
      </w:rPr>
      <w:t xml:space="preserve">	</w:t>
    </w:r>
    <w:r>
      <w:rPr>
        <w:rFonts w:ascii="Meiryo" w:cs="Meiryo" w:eastAsia="Meiryo" w:hAnsi="Meiryo"/>
        <w:color w:val="5B6772"/>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rPr>
        <w:color w:val="B58A3A"/>
      </w:rPr>
    </w:lvl>
    <w:lvl w:ilvl="1" w15:tentative="1">
      <w:start w:val="1"/>
      <w:numFmt w:val="bullet"/>
      <w:lvlText w:val="–"/>
      <w:lvlJc w:val="left"/>
      <w:pPr>
        <w:ind w:left="840" w:hanging="23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20"/>
      <w:outlineLvl w:val="1"/>
    </w:pPr>
    <w:rPr>
      <w:rFonts w:ascii="Meiryo" w:cs="Meiryo" w:eastAsia="Meiryo" w:hAnsi="Meiryo"/>
      <w:b/>
      <w:bCs/>
      <w:color w:val="16314F"/>
      <w:sz w:val="24"/>
      <w:szCs w:val="24"/>
    </w:rPr>
  </w:style>
  <w:style w:type="paragraph" w:styleId="Heading3">
    <w:name w:val="Heading 3"/>
    <w:basedOn w:val="Normal"/>
    <w:next w:val="Normal"/>
    <w:qFormat/>
    <w:pPr>
      <w:spacing w:after="60" w:before="160"/>
      <w:outlineLvl w:val="2"/>
    </w:pPr>
    <w:rPr>
      <w:rFonts w:ascii="Meiryo" w:cs="Meiryo" w:eastAsia="Meiryo" w:hAnsi="Meiryo"/>
      <w:b/>
      <w:bCs/>
      <w:color w:val="243B5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2026-06-21T00:17:59.503Z</dcterms:created>
  <dcterms:modified xsi:type="dcterms:W3CDTF">2026-06-21T00:17:59.503Z</dcterms:modified>
</cp:coreProperties>
</file>

<file path=docProps/custom.xml><?xml version="1.0" encoding="utf-8"?>
<Properties xmlns="http://schemas.openxmlformats.org/officeDocument/2006/custom-properties" xmlns:vt="http://schemas.openxmlformats.org/officeDocument/2006/docPropsVTypes"/>
</file>