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color="auto" w:fill="16314F"/>
            <w:tcMar>
              <w:top w:w="150" w:type="dxa"/>
              <w:left w:w="200" w:type="dxa"/>
              <w:bottom w:w="150" w:type="dxa"/>
              <w:right w:w="200" w:type="dxa"/>
            </w:tcMar>
            <w:vAlign w:val="center"/>
          </w:tcPr>
          <w:p>
            <w:pPr>
              <w:spacing w:after="60"/>
            </w:pPr>
            <w:r>
              <w:rPr>
                <w:rFonts w:ascii="Meiryo" w:hAnsi="Meiryo" w:eastAsia="Meiryo"/>
                <w:b/>
                <w:color w:val="B58A3A"/>
                <w:sz w:val="20"/>
              </w:rPr>
              <w:t>管理職向け補足資料</w:t>
            </w:r>
          </w:p>
          <w:p>
            <w:pPr>
              <w:spacing w:after="80"/>
            </w:pPr>
            <w:r>
              <w:rPr>
                <w:rFonts w:ascii="Meiryo" w:hAnsi="Meiryo" w:eastAsia="Meiryo"/>
                <w:b/>
                <w:color w:val="FFFFFF"/>
                <w:sz w:val="38"/>
              </w:rPr>
              <w:t>職場の人権リスク 管理職向け補足ノート</w:t>
            </w:r>
          </w:p>
          <w:p>
            <w:pPr>
              <w:spacing w:after="0"/>
            </w:pPr>
            <w:r>
              <w:rPr>
                <w:rFonts w:ascii="Meiryo" w:hAnsi="Meiryo" w:eastAsia="Meiryo"/>
                <w:color w:val="C9D4E0"/>
                <w:sz w:val="19"/>
              </w:rPr>
              <w:t>法務・総務のための社内研修資料20選（第8回）　｜　法令・制度基準日：2026年6月18日　｜　Legal GPT</w:t>
            </w:r>
          </w:p>
        </w:tc>
      </w:tr>
    </w:tbl>
    <w:p>
      <w:pPr>
        <w:spacing w:after="120"/>
      </w:pPr>
    </w:p>
    <w:p>
      <w:pPr>
        <w:spacing w:after="80" w:before="0" w:line="254" w:lineRule="auto"/>
      </w:pPr>
      <w:r>
        <w:rPr>
          <w:rFonts w:ascii="Meiryo" w:hAnsi="Meiryo" w:eastAsia="Meiryo"/>
          <w:color w:val="263238"/>
          <w:sz w:val="20"/>
        </w:rPr>
        <w:t>本資料は、第8回 人権研修の管理職向け補足です。日常のマネジメントの中で、属性への決めつけ・差別的発言・偏見・プライバシー侵害に気づき、責める対応ではなく、確認・相談・配慮につなげるための要点をまとめています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color="auto" w:fill="EAEFF4"/>
            <w:tcMar>
              <w:top w:w="90" w:type="dxa"/>
              <w:left w:w="140" w:type="dxa"/>
              <w:bottom w:w="90" w:type="dxa"/>
              <w:right w:w="140" w:type="dxa"/>
            </w:tcMar>
          </w:tcPr>
          <w:p>
            <w:pPr>
              <w:spacing w:after="0" w:line="252" w:lineRule="auto"/>
            </w:pPr>
            <w:r>
              <w:rPr>
                <w:rFonts w:ascii="Meiryo" w:hAnsi="Meiryo" w:eastAsia="Meiryo"/>
                <w:b/>
                <w:color w:val="16314F"/>
                <w:sz w:val="20"/>
              </w:rPr>
              <w:t xml:space="preserve">基本姿勢　</w:t>
            </w:r>
            <w:r>
              <w:rPr>
                <w:rFonts w:ascii="Meiryo" w:hAnsi="Meiryo" w:eastAsia="Meiryo"/>
                <w:color w:val="4A4A4A"/>
                <w:sz w:val="19"/>
              </w:rPr>
              <w:t>管理職の役割は犯人探しではありません。早期に気づき、当事者を守り、職場を整え、一人で抱え込まずに人事・総務・法務・産業保健へつなぐことです。違法か適法かの最終判断を、管理職が一人で下す必要はありません。</w:t>
            </w:r>
          </w:p>
        </w:tc>
      </w:tr>
    </w:tbl>
    <w:p>
      <w:pPr>
        <w:spacing w:after="80"/>
      </w:pP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1　人権リスクに気づくべき場面</w:t>
      </w:r>
    </w:p>
    <w:p>
      <w:pPr>
        <w:spacing w:after="80" w:before="0" w:line="254" w:lineRule="auto"/>
      </w:pPr>
      <w:r>
        <w:rPr>
          <w:rFonts w:ascii="Meiryo" w:hAnsi="Meiryo" w:eastAsia="Meiryo"/>
          <w:color w:val="263238"/>
          <w:sz w:val="20"/>
        </w:rPr>
        <w:t>次のような場面は、本人が笑っていても、悪気がなくても、人権上の問題が起きやすい場面です。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41"/>
        <w:gridCol w:w="7597"/>
      </w:tblGrid>
      <w:tr>
        <w:tc>
          <w:tcPr>
            <w:tcW w:type="dxa" w:w="2041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16314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FFFFFF"/>
                <w:sz w:val="19"/>
              </w:rPr>
              <w:t>場面</w:t>
            </w:r>
          </w:p>
        </w:tc>
        <w:tc>
          <w:tcPr>
            <w:tcW w:type="dxa" w:w="7597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16314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FFFFFF"/>
                <w:sz w:val="19"/>
              </w:rPr>
              <w:t>注意するサイン</w:t>
            </w:r>
          </w:p>
        </w:tc>
      </w:tr>
      <w:tr>
        <w:tc>
          <w:tcPr>
            <w:tcW w:type="dxa" w:w="2041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雑談・休憩</w:t>
            </w:r>
          </w:p>
        </w:tc>
        <w:tc>
          <w:tcPr>
            <w:tcW w:type="dxa" w:w="7597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国籍・出身地・家族・容姿・年齢・恋愛などへの詮索や決めつけ</w:t>
            </w:r>
          </w:p>
        </w:tc>
      </w:tr>
      <w:tr>
        <w:tc>
          <w:tcPr>
            <w:tcW w:type="dxa" w:w="2041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会議</w:t>
            </w:r>
          </w:p>
        </w:tc>
        <w:tc>
          <w:tcPr>
            <w:tcW w:type="dxa" w:w="7597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特定の属性を前提にした役割の割り振り、発言を遮られる人の固定化</w:t>
            </w:r>
          </w:p>
        </w:tc>
      </w:tr>
      <w:tr>
        <w:tc>
          <w:tcPr>
            <w:tcW w:type="dxa" w:w="2041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チャット・メール</w:t>
            </w:r>
          </w:p>
        </w:tc>
        <w:tc>
          <w:tcPr>
            <w:tcW w:type="dxa" w:w="7597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からかい投稿、スタンプでの便乗、文字で残る不適切発言</w:t>
            </w:r>
          </w:p>
        </w:tc>
      </w:tr>
      <w:tr>
        <w:tc>
          <w:tcPr>
            <w:tcW w:type="dxa" w:w="2041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評価・面談</w:t>
            </w:r>
          </w:p>
        </w:tc>
        <w:tc>
          <w:tcPr>
            <w:tcW w:type="dxa" w:w="7597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属性（育児・年齢・性別など）を理由にした評価や期待値の引き下げ</w:t>
            </w:r>
          </w:p>
        </w:tc>
      </w:tr>
      <w:tr>
        <w:tc>
          <w:tcPr>
            <w:tcW w:type="dxa" w:w="2041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配置・担当決め</w:t>
            </w:r>
          </w:p>
        </w:tc>
        <w:tc>
          <w:tcPr>
            <w:tcW w:type="dxa" w:w="7597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本人に確認せず「無理だろう」で外す／特定属性に固定する</w:t>
            </w:r>
          </w:p>
        </w:tc>
      </w:tr>
      <w:tr>
        <w:tc>
          <w:tcPr>
            <w:tcW w:type="dxa" w:w="2041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教育・育成</w:t>
            </w:r>
          </w:p>
        </w:tc>
        <w:tc>
          <w:tcPr>
            <w:tcW w:type="dxa" w:w="7597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「もう年だから」「若いから」などで学習機会に差をつける</w:t>
            </w:r>
          </w:p>
        </w:tc>
      </w:tr>
      <w:tr>
        <w:tc>
          <w:tcPr>
            <w:tcW w:type="dxa" w:w="2041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懇親会・飲み会</w:t>
            </w:r>
          </w:p>
        </w:tc>
        <w:tc>
          <w:tcPr>
            <w:tcW w:type="dxa" w:w="7597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参加の強制、私的な質問、SOGI・家族・出身の話題化</w:t>
            </w:r>
          </w:p>
        </w:tc>
      </w:tr>
    </w:tbl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2　相談を受けた場合の初動</w:t>
      </w:r>
    </w:p>
    <w:p>
      <w:pPr>
        <w:pStyle w:val="ListNumber"/>
        <w:spacing w:after="40"/>
      </w:pPr>
      <w:r>
        <w:rPr>
          <w:rFonts w:ascii="Meiryo" w:hAnsi="Meiryo" w:eastAsia="Meiryo"/>
          <w:color w:val="263238"/>
          <w:sz w:val="21"/>
        </w:rPr>
        <w:t>まず最後まで聞く。さえぎらない、評価しない、結論を急がない。</w:t>
      </w:r>
    </w:p>
    <w:p>
      <w:pPr>
        <w:pStyle w:val="ListNumber"/>
        <w:spacing w:after="40"/>
      </w:pPr>
      <w:r>
        <w:rPr>
          <w:rFonts w:ascii="Meiryo" w:hAnsi="Meiryo" w:eastAsia="Meiryo"/>
          <w:color w:val="263238"/>
          <w:sz w:val="21"/>
        </w:rPr>
        <w:t>無条件の秘密保持は約束しない。「必要最小限の範囲で共有することがある」と最初に伝える。</w:t>
      </w:r>
    </w:p>
    <w:p>
      <w:pPr>
        <w:pStyle w:val="ListNumber"/>
        <w:spacing w:after="40"/>
      </w:pPr>
      <w:r>
        <w:rPr>
          <w:rFonts w:ascii="Meiryo" w:hAnsi="Meiryo" w:eastAsia="Meiryo"/>
          <w:color w:val="263238"/>
          <w:sz w:val="21"/>
        </w:rPr>
        <w:t>事実・伝聞・推測を分けてメモする（ツールキット第3部の記録シートを使う）。</w:t>
      </w:r>
    </w:p>
    <w:p>
      <w:pPr>
        <w:pStyle w:val="ListNumber"/>
        <w:spacing w:after="40"/>
      </w:pPr>
      <w:r>
        <w:rPr>
          <w:rFonts w:ascii="Meiryo" w:hAnsi="Meiryo" w:eastAsia="Meiryo"/>
          <w:color w:val="263238"/>
          <w:sz w:val="21"/>
        </w:rPr>
        <w:t>本人が望む対応と、共有してよい範囲を確認する。</w:t>
      </w:r>
    </w:p>
    <w:p>
      <w:pPr>
        <w:pStyle w:val="ListNumber"/>
        <w:spacing w:after="40"/>
      </w:pPr>
      <w:r>
        <w:rPr>
          <w:rFonts w:ascii="Meiryo" w:hAnsi="Meiryo" w:eastAsia="Meiryo"/>
          <w:color w:val="263238"/>
          <w:sz w:val="21"/>
        </w:rPr>
        <w:t>緊急性（健康・安全）があれば、安全確保と人事・産業保健への連絡を優先する。</w:t>
      </w:r>
    </w:p>
    <w:p>
      <w:pPr>
        <w:pStyle w:val="ListNumber"/>
        <w:spacing w:after="40"/>
      </w:pPr>
      <w:r>
        <w:rPr>
          <w:rFonts w:ascii="Meiryo" w:hAnsi="Meiryo" w:eastAsia="Meiryo"/>
          <w:color w:val="263238"/>
          <w:sz w:val="21"/>
        </w:rPr>
        <w:t>行為者へその場で独断の問い詰めをしない。</w:t>
      </w:r>
    </w:p>
    <w:p>
      <w:pPr>
        <w:pStyle w:val="ListNumber"/>
        <w:spacing w:after="40"/>
      </w:pPr>
      <w:r>
        <w:rPr>
          <w:rFonts w:ascii="Meiryo" w:hAnsi="Meiryo" w:eastAsia="Meiryo"/>
          <w:color w:val="263238"/>
          <w:sz w:val="21"/>
        </w:rPr>
        <w:t>一人で本格調査を始めず、正式な窓口・人事へつなぐ。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color="auto" w:fill="FBECEA"/>
            <w:tcMar>
              <w:top w:w="90" w:type="dxa"/>
              <w:left w:w="140" w:type="dxa"/>
              <w:bottom w:w="90" w:type="dxa"/>
              <w:right w:w="140" w:type="dxa"/>
            </w:tcMar>
          </w:tcPr>
          <w:p>
            <w:pPr>
              <w:spacing w:after="0" w:line="252" w:lineRule="auto"/>
            </w:pPr>
            <w:r>
              <w:rPr>
                <w:rFonts w:ascii="Meiryo" w:hAnsi="Meiryo" w:eastAsia="Meiryo"/>
                <w:b/>
                <w:color w:val="B42318"/>
                <w:sz w:val="20"/>
              </w:rPr>
              <w:t xml:space="preserve">やってはいけない初動　</w:t>
            </w:r>
            <w:r>
              <w:rPr>
                <w:rFonts w:ascii="Meiryo" w:hAnsi="Meiryo" w:eastAsia="Meiryo"/>
                <w:color w:val="B42318"/>
                <w:sz w:val="19"/>
              </w:rPr>
              <w:t>「気にしすぎ」「考えすぎ」「あの人も悪気はない」と相談者をなだめて終わらせること、相談内容をうわさとして他へ共有すること、相談者の主張だけで行為者を即断で処分すること、行為者の否認だけで相談を虚偽と決めつけること。</w:t>
            </w:r>
          </w:p>
        </w:tc>
      </w:tr>
    </w:tbl>
    <w:p>
      <w:pPr>
        <w:spacing w:after="80"/>
      </w:pP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3　チーム内で不適切発言があったときの注意の仕方</w:t>
      </w:r>
    </w:p>
    <w:p>
      <w:pPr>
        <w:pStyle w:val="ListBullet"/>
        <w:spacing w:after="40" w:line="252" w:lineRule="auto"/>
      </w:pPr>
      <w:r>
        <w:rPr>
          <w:rFonts w:ascii="Meiryo" w:hAnsi="Meiryo" w:eastAsia="Meiryo"/>
          <w:color w:val="2F6B4F"/>
          <w:sz w:val="21"/>
        </w:rPr>
        <w:t>その場で止める場合は、人格ではなく言動に焦点を当てて短く伝える（例：「その話題は職場では控えましょう」）。</w:t>
      </w:r>
    </w:p>
    <w:p>
      <w:pPr>
        <w:pStyle w:val="ListBullet"/>
        <w:spacing w:after="40" w:line="252" w:lineRule="auto"/>
      </w:pPr>
      <w:r>
        <w:rPr>
          <w:rFonts w:ascii="Meiryo" w:hAnsi="Meiryo" w:eastAsia="Meiryo"/>
          <w:color w:val="2F6B4F"/>
          <w:sz w:val="21"/>
        </w:rPr>
        <w:t>大勢の前で個人を吊し上げない。必要に応じて後で個別に伝える。</w:t>
      </w:r>
    </w:p>
    <w:p>
      <w:pPr>
        <w:pStyle w:val="ListBullet"/>
        <w:spacing w:after="40" w:line="252" w:lineRule="auto"/>
      </w:pPr>
      <w:r>
        <w:rPr>
          <w:rFonts w:ascii="Meiryo" w:hAnsi="Meiryo" w:eastAsia="Meiryo"/>
          <w:color w:val="2F6B4F"/>
          <w:sz w:val="21"/>
        </w:rPr>
        <w:t>「なぜ問題か」を、属性ではなく『業務上の必要性』『本人の同意』『相手への影響』の観点で説明する。</w:t>
      </w:r>
    </w:p>
    <w:p>
      <w:pPr>
        <w:pStyle w:val="ListBullet"/>
        <w:spacing w:after="40" w:line="252" w:lineRule="auto"/>
      </w:pPr>
      <w:r>
        <w:rPr>
          <w:rFonts w:ascii="Meiryo" w:hAnsi="Meiryo" w:eastAsia="Meiryo"/>
          <w:color w:val="2F6B4F"/>
          <w:sz w:val="21"/>
        </w:rPr>
        <w:t>繰り返される場合や悪質な場合は、記録し、人事・法務へ相談する。</w:t>
      </w: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4　合理的配慮・勤務上の配慮の相談を受けたとき</w:t>
      </w:r>
    </w:p>
    <w:p>
      <w:pPr>
        <w:pStyle w:val="ListBullet"/>
        <w:spacing w:after="40" w:line="252" w:lineRule="auto"/>
      </w:pPr>
      <w:r>
        <w:rPr>
          <w:rFonts w:ascii="Meiryo" w:hAnsi="Meiryo" w:eastAsia="Meiryo"/>
          <w:color w:val="2F6B4F"/>
          <w:sz w:val="21"/>
        </w:rPr>
        <w:t>申出を「わがまま」「特別扱い」と決めつけない。配慮は機会の平等のための調整です。</w:t>
      </w:r>
    </w:p>
    <w:p>
      <w:pPr>
        <w:pStyle w:val="ListBullet"/>
        <w:spacing w:after="40" w:line="252" w:lineRule="auto"/>
      </w:pPr>
      <w:r>
        <w:rPr>
          <w:rFonts w:ascii="Meiryo" w:hAnsi="Meiryo" w:eastAsia="Meiryo"/>
          <w:color w:val="2F6B4F"/>
          <w:sz w:val="21"/>
        </w:rPr>
        <w:t>本人の障害・病気・通院・家族事情を必要以上に詮索しない。</w:t>
      </w:r>
    </w:p>
    <w:p>
      <w:pPr>
        <w:pStyle w:val="ListBullet"/>
        <w:spacing w:after="40" w:line="252" w:lineRule="auto"/>
      </w:pPr>
      <w:r>
        <w:rPr>
          <w:rFonts w:ascii="Meiryo" w:hAnsi="Meiryo" w:eastAsia="Meiryo"/>
          <w:color w:val="2F6B4F"/>
          <w:sz w:val="21"/>
        </w:rPr>
        <w:t>医学的な判断を管理職だけで行わない。産業保健・人事へつなぐ。</w:t>
      </w:r>
    </w:p>
    <w:p>
      <w:pPr>
        <w:pStyle w:val="ListBullet"/>
        <w:spacing w:after="40" w:line="252" w:lineRule="auto"/>
      </w:pPr>
      <w:r>
        <w:rPr>
          <w:rFonts w:ascii="Meiryo" w:hAnsi="Meiryo" w:eastAsia="Meiryo"/>
          <w:color w:val="2F6B4F"/>
          <w:sz w:val="21"/>
        </w:rPr>
        <w:t>「この仕事は無理」と先に決めず、業務上必要な条件と、実施可能な配慮案を本人と一緒に確認する。</w:t>
      </w:r>
    </w:p>
    <w:p>
      <w:pPr>
        <w:pStyle w:val="ListBullet"/>
        <w:spacing w:after="40" w:line="252" w:lineRule="auto"/>
      </w:pPr>
      <w:r>
        <w:rPr>
          <w:rFonts w:ascii="Meiryo" w:hAnsi="Meiryo" w:eastAsia="Meiryo"/>
          <w:color w:val="2F6B4F"/>
          <w:sz w:val="21"/>
        </w:rPr>
        <w:t>情報の共有範囲は本人の意向を確認し、必要最小限にする（ツールキット第4部のメモを使う）。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color="auto" w:fill="E9F1EC"/>
            <w:tcMar>
              <w:top w:w="90" w:type="dxa"/>
              <w:left w:w="140" w:type="dxa"/>
              <w:bottom w:w="90" w:type="dxa"/>
              <w:right w:w="140" w:type="dxa"/>
            </w:tcMar>
          </w:tcPr>
          <w:p>
            <w:pPr>
              <w:spacing w:after="0" w:line="252" w:lineRule="auto"/>
            </w:pPr>
            <w:r>
              <w:rPr>
                <w:rFonts w:ascii="Meiryo" w:hAnsi="Meiryo" w:eastAsia="Meiryo"/>
                <w:b/>
                <w:color w:val="2F6B4F"/>
                <w:sz w:val="20"/>
              </w:rPr>
              <w:t xml:space="preserve">雇用分野の整理　</w:t>
            </w:r>
            <w:r>
              <w:rPr>
                <w:rFonts w:ascii="Meiryo" w:hAnsi="Meiryo" w:eastAsia="Meiryo"/>
                <w:color w:val="2F6B4F"/>
                <w:sz w:val="19"/>
              </w:rPr>
              <w:t>雇用分野における障害者への合理的配慮の提供は、障害者雇用促進法に基づく事業主の義務です。具体的な手続・費用負担・体制は自社規程と産業保健・人事の運用に従ってください（本資料は自動判定表ではありません）。</w:t>
            </w:r>
          </w:p>
        </w:tc>
      </w:tr>
    </w:tbl>
    <w:p>
      <w:pPr>
        <w:spacing w:after="80"/>
      </w:pP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5　本人の機微情報を共有するときの注意</w:t>
      </w:r>
    </w:p>
    <w:p>
      <w:pPr>
        <w:spacing w:after="80" w:before="0" w:line="254" w:lineRule="auto"/>
      </w:pPr>
      <w:r>
        <w:rPr>
          <w:rFonts w:ascii="Meiryo" w:hAnsi="Meiryo" w:eastAsia="Meiryo"/>
          <w:color w:val="263238"/>
          <w:sz w:val="20"/>
        </w:rPr>
        <w:t>病歴・障害・通院・SOGI・家族事情・出身などは機微情報です。共有が必要な場面でも、次を守ります。</w:t>
      </w:r>
    </w:p>
    <w:p>
      <w:pPr>
        <w:pStyle w:val="ListBullet"/>
        <w:spacing w:after="40" w:line="252" w:lineRule="auto"/>
      </w:pPr>
      <w:r>
        <w:rPr>
          <w:rFonts w:ascii="Meiryo" w:hAnsi="Meiryo" w:eastAsia="Meiryo"/>
          <w:color w:val="237A75"/>
          <w:sz w:val="21"/>
        </w:rPr>
        <w:t>原則として本人の同意を得る。共有の目的・範囲・相手を本人に説明する。</w:t>
      </w:r>
    </w:p>
    <w:p>
      <w:pPr>
        <w:pStyle w:val="ListBullet"/>
        <w:spacing w:after="40" w:line="252" w:lineRule="auto"/>
      </w:pPr>
      <w:r>
        <w:rPr>
          <w:rFonts w:ascii="Meiryo" w:hAnsi="Meiryo" w:eastAsia="Meiryo"/>
          <w:color w:val="237A75"/>
          <w:sz w:val="21"/>
        </w:rPr>
        <w:t>「誰に・何を・なぜ」共有するかを必要最小限にする。</w:t>
      </w:r>
    </w:p>
    <w:p>
      <w:pPr>
        <w:pStyle w:val="ListBullet"/>
        <w:spacing w:after="40" w:line="252" w:lineRule="auto"/>
      </w:pPr>
      <w:r>
        <w:rPr>
          <w:rFonts w:ascii="Meiryo" w:hAnsi="Meiryo" w:eastAsia="Meiryo"/>
          <w:color w:val="237A75"/>
          <w:sz w:val="21"/>
        </w:rPr>
        <w:t>生命・身体・健康・安全に急迫した危険がある場合は、同意が得られなくても必要な共有を行うことがある（その場合も範囲は最小限）。</w:t>
      </w:r>
    </w:p>
    <w:p>
      <w:pPr>
        <w:pStyle w:val="ListBullet"/>
        <w:spacing w:after="40" w:line="252" w:lineRule="auto"/>
      </w:pPr>
      <w:r>
        <w:rPr>
          <w:rFonts w:ascii="Meiryo" w:hAnsi="Meiryo" w:eastAsia="Meiryo"/>
          <w:color w:val="237A75"/>
          <w:sz w:val="21"/>
        </w:rPr>
        <w:t>アクセスできる人を限定し、自社の個人情報・健康情報の取扱ルールに従って記録・保管する。</w:t>
      </w: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6　当事者と周囲のメンバー双方への説明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c>
          <w:tcPr>
            <w:tcW w:type="dxa" w:w="283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16314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FFFFFF"/>
                <w:sz w:val="19"/>
              </w:rPr>
              <w:t>相手</w:t>
            </w:r>
          </w:p>
        </w:tc>
        <w:tc>
          <w:tcPr>
            <w:tcW w:type="dxa" w:w="680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16314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FFFFFF"/>
                <w:sz w:val="19"/>
              </w:rPr>
              <w:t>伝えること</w:t>
            </w:r>
          </w:p>
        </w:tc>
      </w:tr>
      <w:tr>
        <w:tc>
          <w:tcPr>
            <w:tcW w:type="dxa" w:w="283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当事者（相談者・配慮の対象者）</w:t>
            </w:r>
          </w:p>
        </w:tc>
        <w:tc>
          <w:tcPr>
            <w:tcW w:type="dxa" w:w="680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対応の見通し、共有範囲、相談先。責めない姿勢を明確にする。</w:t>
            </w:r>
          </w:p>
        </w:tc>
      </w:tr>
      <w:tr>
        <w:tc>
          <w:tcPr>
            <w:tcW w:type="dxa" w:w="283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周囲のメンバー</w:t>
            </w:r>
          </w:p>
        </w:tc>
        <w:tc>
          <w:tcPr>
            <w:tcW w:type="dxa" w:w="680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配慮の詳細（病名・事情）は伝えない。必要な業務上の協力だけを、属性に触れずに依頼する。</w:t>
            </w:r>
          </w:p>
        </w:tc>
      </w:tr>
    </w:tbl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7　人事・総務・法務・産業保健への相談基準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08"/>
        <w:gridCol w:w="7030"/>
      </w:tblGrid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16314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FFFFFF"/>
                <w:sz w:val="19"/>
              </w:rPr>
              <w:t>相談先の目安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16314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FFFFFF"/>
                <w:sz w:val="19"/>
              </w:rPr>
              <w:t>こんなとき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人事・総務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配置・評価・配慮の制度運用、ハラスメント・差別の疑い、繰り返す事案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法務・コンプライアンス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差別的取扱い・プライバシー侵害・規程違反の可能性、対外的リスク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産業医・産業保健スタッフ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健康・メンタル・就業上の措置、医学的判断が関わる配慮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相談窓口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9"/>
              </w:rPr>
              <w:t>本人が相談を望む場合、第三者として相談したい場合</w:t>
            </w:r>
          </w:p>
        </w:tc>
      </w:tr>
    </w:tbl>
    <w:p>
      <w:pPr>
        <w:spacing w:after="80" w:before="0" w:line="254" w:lineRule="auto"/>
      </w:pPr>
      <w:r>
        <w:rPr>
          <w:rFonts w:ascii="Meiryo" w:hAnsi="Meiryo" w:eastAsia="Meiryo"/>
          <w:color w:val="5C6B7A"/>
          <w:sz w:val="18"/>
        </w:rPr>
        <w:t>※ 迷ったら抱え込まずに相談する、が原則です。</w:t>
      </w: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8　管理職が言ってはいけない一言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855"/>
        <w:gridCol w:w="5783"/>
      </w:tblGrid>
      <w:tr>
        <w:tc>
          <w:tcPr>
            <w:tcW w:type="dxa" w:w="385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16314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FFFFFF"/>
                <w:sz w:val="18"/>
              </w:rPr>
              <w:t>NGな一言</w:t>
            </w:r>
          </w:p>
        </w:tc>
        <w:tc>
          <w:tcPr>
            <w:tcW w:type="dxa" w:w="578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16314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FFFFFF"/>
                <w:sz w:val="18"/>
              </w:rPr>
              <w:t>なぜ問題か</w:t>
            </w:r>
          </w:p>
        </w:tc>
      </w:tr>
      <w:tr>
        <w:tc>
          <w:tcPr>
            <w:tcW w:type="dxa" w:w="385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B42318"/>
                <w:sz w:val="18"/>
              </w:rPr>
              <w:t>「気にしすぎだよ」</w:t>
            </w:r>
          </w:p>
        </w:tc>
        <w:tc>
          <w:tcPr>
            <w:tcW w:type="dxa" w:w="578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相談者の体験を否定し、相談をためらわせる</w:t>
            </w:r>
          </w:p>
        </w:tc>
      </w:tr>
      <w:tr>
        <w:tc>
          <w:tcPr>
            <w:tcW w:type="dxa" w:w="385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B42318"/>
                <w:sz w:val="18"/>
              </w:rPr>
              <w:t>「悪気はないんだから」</w:t>
            </w:r>
          </w:p>
        </w:tc>
        <w:tc>
          <w:tcPr>
            <w:tcW w:type="dxa" w:w="578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意図の有無で影響を打ち消してしまう</w:t>
            </w:r>
          </w:p>
        </w:tc>
      </w:tr>
      <w:tr>
        <w:tc>
          <w:tcPr>
            <w:tcW w:type="dxa" w:w="385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B42318"/>
                <w:sz w:val="18"/>
              </w:rPr>
              <w:t>「その病気ならこの仕事は無理」</w:t>
            </w:r>
          </w:p>
        </w:tc>
        <w:tc>
          <w:tcPr>
            <w:tcW w:type="dxa" w:w="578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決めつけ・機会の剥奪・差別的取扱いになり得る</w:t>
            </w:r>
          </w:p>
        </w:tc>
      </w:tr>
      <w:tr>
        <w:tc>
          <w:tcPr>
            <w:tcW w:type="dxa" w:w="385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B42318"/>
                <w:sz w:val="18"/>
              </w:rPr>
              <w:t>「みんなにも言っておくね」（同意なく）</w:t>
            </w:r>
          </w:p>
        </w:tc>
        <w:tc>
          <w:tcPr>
            <w:tcW w:type="dxa" w:w="578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機微情報の無断共有・アウティング</w:t>
            </w:r>
          </w:p>
        </w:tc>
      </w:tr>
      <w:tr>
        <w:tc>
          <w:tcPr>
            <w:tcW w:type="dxa" w:w="385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B42318"/>
                <w:sz w:val="18"/>
              </w:rPr>
              <w:t>「子どもがいるから外しておくね」（確認なく）</w:t>
            </w:r>
          </w:p>
        </w:tc>
        <w:tc>
          <w:tcPr>
            <w:tcW w:type="dxa" w:w="578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配慮を装った機会の剥奪</w:t>
            </w:r>
          </w:p>
        </w:tc>
      </w:tr>
      <w:tr>
        <w:tc>
          <w:tcPr>
            <w:tcW w:type="dxa" w:w="385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B42318"/>
                <w:sz w:val="18"/>
              </w:rPr>
              <w:t>「本当はどっちが好きなの？」</w:t>
            </w:r>
          </w:p>
        </w:tc>
        <w:tc>
          <w:tcPr>
            <w:tcW w:type="dxa" w:w="578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SOGIの詮索・プライバシー侵害</w:t>
            </w:r>
          </w:p>
        </w:tc>
      </w:tr>
      <w:tr>
        <w:tc>
          <w:tcPr>
            <w:tcW w:type="dxa" w:w="385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B42318"/>
                <w:sz w:val="18"/>
              </w:rPr>
              <w:t>「その地域の出身？」（詮索）</w:t>
            </w:r>
          </w:p>
        </w:tc>
        <w:tc>
          <w:tcPr>
            <w:tcW w:type="dxa" w:w="578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出身地差別につながる詮索</w:t>
            </w:r>
          </w:p>
        </w:tc>
      </w:tr>
    </w:tbl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9　チームミーティングで使える短い注意喚起文</w:t>
      </w:r>
    </w:p>
    <w:p>
      <w:pPr>
        <w:spacing w:after="80" w:before="0" w:line="254" w:lineRule="auto"/>
      </w:pPr>
      <w:r>
        <w:rPr>
          <w:rFonts w:ascii="Meiryo" w:hAnsi="Meiryo" w:eastAsia="Meiryo"/>
          <w:color w:val="263238"/>
          <w:sz w:val="19"/>
        </w:rPr>
        <w:t>朝礼やミーティングでそのまま読める短文です。自社の言葉に調整してご利用ください。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80" w:type="dxa"/>
              <w:left w:w="130" w:type="dxa"/>
              <w:bottom w:w="80" w:type="dxa"/>
              <w:right w:w="130" w:type="dxa"/>
            </w:tcMar>
          </w:tcPr>
          <w:p>
            <w:pPr>
              <w:spacing w:after="0" w:line="259" w:lineRule="auto"/>
            </w:pPr>
            <w:r>
              <w:rPr>
                <w:rFonts w:ascii="Meiryo" w:hAnsi="Meiryo" w:eastAsia="Meiryo"/>
                <w:b/>
                <w:color w:val="B58A3A"/>
                <w:sz w:val="19"/>
              </w:rPr>
              <w:t xml:space="preserve">例1　</w:t>
            </w:r>
            <w:r>
              <w:rPr>
                <w:rFonts w:ascii="Meiryo" w:hAnsi="Meiryo" w:eastAsia="Meiryo"/>
                <w:color w:val="263238"/>
                <w:sz w:val="19"/>
              </w:rPr>
              <w:t>「悪気がなくても、相手の国籍・年齢・家族・出身・健康などを決めつけた言い方は、相手を傷つけ、相談しにくい職場を作ります。業務に必要な確認かどうか、一度立ち止まって考えましょう。」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80" w:type="dxa"/>
              <w:left w:w="130" w:type="dxa"/>
              <w:bottom w:w="80" w:type="dxa"/>
              <w:right w:w="130" w:type="dxa"/>
            </w:tcMar>
          </w:tcPr>
          <w:p>
            <w:pPr>
              <w:spacing w:after="0" w:line="259" w:lineRule="auto"/>
            </w:pPr>
            <w:r>
              <w:rPr>
                <w:rFonts w:ascii="Meiryo" w:hAnsi="Meiryo" w:eastAsia="Meiryo"/>
                <w:b/>
                <w:color w:val="B58A3A"/>
                <w:sz w:val="19"/>
              </w:rPr>
              <w:t xml:space="preserve">例2　</w:t>
            </w:r>
            <w:r>
              <w:rPr>
                <w:rFonts w:ascii="Meiryo" w:hAnsi="Meiryo" w:eastAsia="Meiryo"/>
                <w:color w:val="263238"/>
                <w:sz w:val="19"/>
              </w:rPr>
              <w:t>「本人が話していない病気・家庭の事情・性のことなどを、本人の同意なく共有しないでください。共有が必要なときは、まず本人に確認します。」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80" w:type="dxa"/>
              <w:left w:w="130" w:type="dxa"/>
              <w:bottom w:w="80" w:type="dxa"/>
              <w:right w:w="130" w:type="dxa"/>
            </w:tcMar>
          </w:tcPr>
          <w:p>
            <w:pPr>
              <w:spacing w:after="0" w:line="259" w:lineRule="auto"/>
            </w:pPr>
            <w:r>
              <w:rPr>
                <w:rFonts w:ascii="Meiryo" w:hAnsi="Meiryo" w:eastAsia="Meiryo"/>
                <w:b/>
                <w:color w:val="B58A3A"/>
                <w:sz w:val="19"/>
              </w:rPr>
              <w:t xml:space="preserve">例3　</w:t>
            </w:r>
            <w:r>
              <w:rPr>
                <w:rFonts w:ascii="Meiryo" w:hAnsi="Meiryo" w:eastAsia="Meiryo"/>
                <w:color w:val="263238"/>
                <w:sz w:val="19"/>
              </w:rPr>
              <w:t>「からかいや決めつけを見聞きしたら、便乗せず、必要なら止め、困っている人がいれば声をかけ、迷ったら相談窓口や私に相談してください。」</w:t>
            </w:r>
          </w:p>
        </w:tc>
      </w:tr>
    </w:tbl>
    <w:p>
      <w:pPr>
        <w:spacing w:after="60"/>
      </w:pP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10　自社の相談窓口・連絡先（要記入）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人権・ハラスメント相談窓口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【要自社記入】担当・内線・メール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人事・総務部門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【要自社記入】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法務・コンプライアンス部門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【要自社記入】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産業医・産業保健スタッフ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【要自社記入】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外部相談窓口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【要自社記入】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緊急時連絡先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【要自社記入】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1134" w:right="1134" w:bottom="1020" w:left="1134" w:header="68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eiryo" w:hAnsi="Meiryo" w:eastAsia="Meiryo"/>
        <w:color w:val="5C6B7A"/>
        <w:sz w:val="17"/>
      </w:rPr>
      <w:t xml:space="preserve">Legal GPT ｜ 人権研修（第8回）　／　</w:t>
    </w:r>
    <w:r>
      <w:rPr>
        <w:rFonts w:ascii="Meiryo" w:hAnsi="Meiryo" w:eastAsia="Meiryo"/>
        <w:color w:val="5C6B7A"/>
        <w:sz w:val="17"/>
      </w:rPr>
      <w:fldChar w:fldCharType="begin"/>
      <w:instrText xml:space="preserve">PAGE</w:instrText>
      <w:fldChar w:fldCharType="end"/>
    </w:r>
    <w:r>
      <w:rPr>
        <w:rFonts w:ascii="Meiryo" w:hAnsi="Meiryo" w:eastAsia="Meiryo"/>
        <w:color w:val="5C6B7A"/>
        <w:sz w:val="17"/>
      </w:rPr>
      <w:t xml:space="preserve"> 頁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4" w:lineRule="auto"/>
    </w:pPr>
    <w:rPr>
      <w:rFonts w:ascii="Meiryo" w:hAnsi="Meiryo" w:eastAsia="Meiryo"/>
      <w:color w:val="26323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