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638"/>
      </w:tblGrid>
      <w:tr>
        <w:tc>
          <w:tcPr>
            <w:tcW w:type="dxa" w:w="9638"/>
            <w:shd w:val="clear" w:color="auto" w:fill="16314F"/>
            <w:tcMar>
              <w:top w:w="150" w:type="dxa"/>
              <w:left w:w="200" w:type="dxa"/>
              <w:bottom w:w="150" w:type="dxa"/>
              <w:right w:w="200" w:type="dxa"/>
            </w:tcMar>
            <w:vAlign w:val="center"/>
          </w:tcPr>
          <w:p>
            <w:pPr>
              <w:spacing w:after="60"/>
            </w:pPr>
            <w:r>
              <w:rPr>
                <w:rFonts w:ascii="Meiryo" w:hAnsi="Meiryo" w:eastAsia="Meiryo"/>
                <w:b/>
                <w:color w:val="B58A3A"/>
                <w:sz w:val="20"/>
              </w:rPr>
              <w:t>研修運営ガイド（研修担当者用）</w:t>
            </w:r>
          </w:p>
          <w:p>
            <w:pPr>
              <w:spacing w:after="80"/>
            </w:pPr>
            <w:r>
              <w:rPr>
                <w:rFonts w:ascii="Meiryo" w:hAnsi="Meiryo" w:eastAsia="Meiryo"/>
                <w:b/>
                <w:color w:val="FFFFFF"/>
                <w:sz w:val="38"/>
              </w:rPr>
              <w:t>職場の差別・偏見・不適切発言 人権研修 運営ガイド</w:t>
            </w:r>
          </w:p>
          <w:p>
            <w:pPr>
              <w:spacing w:after="0"/>
            </w:pPr>
            <w:r>
              <w:rPr>
                <w:rFonts w:ascii="Meiryo" w:hAnsi="Meiryo" w:eastAsia="Meiryo"/>
                <w:color w:val="C9D4E0"/>
                <w:sz w:val="19"/>
              </w:rPr>
              <w:t>法務・総務のための社内研修資料20選（第8回）　｜　法令・制度基準日：2026年6月18日　｜　Legal GPT</w:t>
            </w:r>
          </w:p>
        </w:tc>
      </w:tr>
    </w:tbl>
    <w:p>
      <w:pPr>
        <w:spacing w:after="120"/>
      </w:pPr>
    </w:p>
    <w:tbl>
      <w:tblPr>
        <w:tblW w:type="auto" w:w="0"/>
        <w:tblLayout w:type="fixed"/>
        <w:tblLook w:firstColumn="1" w:firstRow="1" w:lastColumn="0" w:lastRow="0" w:noHBand="0" w:noVBand="1" w:val="04A0"/>
      </w:tblPr>
      <w:tblGrid>
        <w:gridCol w:w="9638"/>
      </w:tblGrid>
      <w:tr>
        <w:tc>
          <w:tcPr>
            <w:tcW w:type="dxa" w:w="9638"/>
            <w:shd w:val="clear" w:color="auto" w:fill="F4EEE1"/>
            <w:tcMar>
              <w:top w:w="90" w:type="dxa"/>
              <w:left w:w="140" w:type="dxa"/>
              <w:bottom w:w="90" w:type="dxa"/>
              <w:right w:w="140" w:type="dxa"/>
            </w:tcMar>
          </w:tcPr>
          <w:p>
            <w:pPr>
              <w:spacing w:after="0" w:line="252" w:lineRule="auto"/>
            </w:pPr>
            <w:r>
              <w:rPr>
                <w:rFonts w:ascii="Meiryo" w:hAnsi="Meiryo" w:eastAsia="Meiryo"/>
                <w:b/>
                <w:color w:val="B58A3A"/>
                <w:sz w:val="20"/>
              </w:rPr>
              <w:t xml:space="preserve">このガイドの位置づけと使い方　</w:t>
            </w:r>
            <w:r>
              <w:rPr>
                <w:rFonts w:ascii="Meiryo" w:hAnsi="Meiryo" w:eastAsia="Meiryo"/>
                <w:color w:val="4A4A4A"/>
                <w:sz w:val="19"/>
              </w:rPr>
              <w:t>本ガイドは、人事・総務・法務など研修を企画・運営する担当者向けの実務ガイドです。スライド・ハンドブック・ケース問題・解答解説・講師台本など他の資料と合わせて使い、自社の状況に合わせて実施するための準備・進行・フォローの手順をまとめています。各所に「要・自社記入」「要・自社確認」と示した箇所は、自社の規程・窓口・運用に合わせて必ず確認・記入してください。法令・制度基準日は2026年6月18日です。施行時期が将来の改正（後述）には、実施日時点の最新情報を反映してください。</w:t>
            </w:r>
          </w:p>
        </w:tc>
      </w:tr>
    </w:tbl>
    <w:p>
      <w:pPr>
        <w:spacing w:after="80"/>
      </w:pPr>
    </w:p>
    <w:p>
      <w:pPr>
        <w:keepNext/>
        <w:pBdr>
          <w:bottom w:val="single" w:sz="10" w:space="6" w:color="B58A3A"/>
        </w:pBdr>
        <w:spacing w:before="240" w:after="120"/>
      </w:pPr>
      <w:r>
        <w:rPr>
          <w:rFonts w:ascii="Meiryo" w:hAnsi="Meiryo" w:eastAsia="Meiryo"/>
          <w:b/>
          <w:color w:val="16314F"/>
          <w:sz w:val="30"/>
        </w:rPr>
        <w:t>目次</w:t>
      </w:r>
    </w:p>
    <w:p>
      <w:pPr>
        <w:spacing w:after="40" w:before="0" w:line="254" w:lineRule="auto"/>
      </w:pPr>
      <w:r>
        <w:rPr>
          <w:rFonts w:ascii="Meiryo" w:hAnsi="Meiryo" w:eastAsia="Meiryo"/>
          <w:color w:val="16314F"/>
          <w:sz w:val="21"/>
        </w:rPr>
        <w:t>第1部　研修の全体像とねらい</w:t>
      </w:r>
    </w:p>
    <w:p>
      <w:pPr>
        <w:spacing w:after="40" w:before="0" w:line="254" w:lineRule="auto"/>
      </w:pPr>
      <w:r>
        <w:rPr>
          <w:rFonts w:ascii="Meiryo" w:hAnsi="Meiryo" w:eastAsia="Meiryo"/>
          <w:color w:val="16314F"/>
          <w:sz w:val="21"/>
        </w:rPr>
        <w:t>第2部　実施前の準備（規程整合・カスタマイズ）</w:t>
      </w:r>
    </w:p>
    <w:p>
      <w:pPr>
        <w:spacing w:after="40" w:before="0" w:line="254" w:lineRule="auto"/>
      </w:pPr>
      <w:r>
        <w:rPr>
          <w:rFonts w:ascii="Meiryo" w:hAnsi="Meiryo" w:eastAsia="Meiryo"/>
          <w:color w:val="16314F"/>
          <w:sz w:val="21"/>
        </w:rPr>
        <w:t>第3部　対象者別の実施方法</w:t>
      </w:r>
    </w:p>
    <w:p>
      <w:pPr>
        <w:spacing w:after="40" w:before="0" w:line="254" w:lineRule="auto"/>
      </w:pPr>
      <w:r>
        <w:rPr>
          <w:rFonts w:ascii="Meiryo" w:hAnsi="Meiryo" w:eastAsia="Meiryo"/>
          <w:color w:val="16314F"/>
          <w:sz w:val="21"/>
        </w:rPr>
        <w:t>第4部　当日の進行と心理的負担への配慮</w:t>
      </w:r>
    </w:p>
    <w:p>
      <w:pPr>
        <w:spacing w:after="40" w:before="0" w:line="254" w:lineRule="auto"/>
      </w:pPr>
      <w:r>
        <w:rPr>
          <w:rFonts w:ascii="Meiryo" w:hAnsi="Meiryo" w:eastAsia="Meiryo"/>
          <w:color w:val="16314F"/>
          <w:sz w:val="21"/>
        </w:rPr>
        <w:t>第5部　研修中・研修後に相談や申告が出た場合の対応</w:t>
      </w:r>
    </w:p>
    <w:p>
      <w:pPr>
        <w:spacing w:after="40" w:before="0" w:line="254" w:lineRule="auto"/>
      </w:pPr>
      <w:r>
        <w:rPr>
          <w:rFonts w:ascii="Meiryo" w:hAnsi="Meiryo" w:eastAsia="Meiryo"/>
          <w:color w:val="16314F"/>
          <w:sz w:val="21"/>
        </w:rPr>
        <w:t>第6部　効果測定とフォローアップ</w:t>
      </w:r>
    </w:p>
    <w:p>
      <w:pPr>
        <w:spacing w:after="40" w:before="0" w:line="254" w:lineRule="auto"/>
      </w:pPr>
      <w:r>
        <w:rPr>
          <w:rFonts w:ascii="Meiryo" w:hAnsi="Meiryo" w:eastAsia="Meiryo"/>
          <w:color w:val="16314F"/>
          <w:sz w:val="21"/>
        </w:rPr>
        <w:t>第7部　版管理・更新運用</w:t>
      </w:r>
    </w:p>
    <w:p>
      <w:pPr>
        <w:spacing w:after="40" w:before="0" w:line="254" w:lineRule="auto"/>
      </w:pPr>
      <w:r>
        <w:rPr>
          <w:rFonts w:ascii="Meiryo" w:hAnsi="Meiryo" w:eastAsia="Meiryo"/>
          <w:color w:val="16314F"/>
          <w:sz w:val="21"/>
        </w:rPr>
        <w:t>第8部　運営者向けFAQ</w:t>
      </w:r>
    </w:p>
    <w:p>
      <w:pPr>
        <w:spacing w:after="40" w:before="0" w:line="254" w:lineRule="auto"/>
      </w:pPr>
      <w:r>
        <w:rPr>
          <w:rFonts w:ascii="Meiryo" w:hAnsi="Meiryo" w:eastAsia="Meiryo"/>
          <w:color w:val="16314F"/>
          <w:sz w:val="21"/>
        </w:rPr>
        <w:t>本資料の位置づけと留意事項</w:t>
      </w:r>
    </w:p>
    <w:p>
      <w:r>
        <w:br w:type="page"/>
      </w:r>
    </w:p>
    <w:p>
      <w:pPr>
        <w:keepNext/>
        <w:pBdr>
          <w:bottom w:val="single" w:sz="10" w:space="6" w:color="B58A3A"/>
        </w:pBdr>
        <w:spacing w:before="240" w:after="120"/>
      </w:pPr>
      <w:r>
        <w:rPr>
          <w:rFonts w:ascii="Meiryo" w:hAnsi="Meiryo" w:eastAsia="Meiryo"/>
          <w:b/>
          <w:color w:val="16314F"/>
          <w:sz w:val="30"/>
        </w:rPr>
        <w:t>第1部　研修の全体像とねらい</w:t>
      </w:r>
    </w:p>
    <w:p>
      <w:pPr>
        <w:keepNext/>
        <w:spacing w:before="160" w:after="60"/>
      </w:pPr>
      <w:r>
        <w:rPr>
          <w:rFonts w:ascii="Meiryo" w:hAnsi="Meiryo" w:eastAsia="Meiryo"/>
          <w:b/>
          <w:color w:val="16314F"/>
          <w:sz w:val="24"/>
        </w:rPr>
        <w:t>1-1　本研修の目的と到達目標</w:t>
      </w:r>
    </w:p>
    <w:p>
      <w:pPr>
        <w:spacing w:after="80" w:before="0" w:line="254" w:lineRule="auto"/>
      </w:pPr>
      <w:r>
        <w:rPr>
          <w:rFonts w:ascii="Meiryo" w:hAnsi="Meiryo" w:eastAsia="Meiryo"/>
          <w:color w:val="263238"/>
          <w:sz w:val="21"/>
        </w:rPr>
        <w:t>本研修は、特定のハラスメント類型には必ずしも当てはまらない、職場の差別・偏見・不適切発言（属性への決めつけ）を題材に、一人ひとりが日常の言動を見直し、見聞きしたときに適切に動けるようになることを目的とします。到達目標は次のとおりです。</w:t>
      </w:r>
    </w:p>
    <w:p>
      <w:pPr>
        <w:pStyle w:val="ListBullet"/>
        <w:spacing w:after="40" w:line="252" w:lineRule="auto"/>
      </w:pPr>
      <w:r>
        <w:rPr>
          <w:rFonts w:ascii="Meiryo" w:hAnsi="Meiryo" w:eastAsia="Meiryo"/>
          <w:color w:val="263238"/>
          <w:sz w:val="21"/>
        </w:rPr>
        <w:t>国籍・出身、障害・病気・メンタル、妊娠・育児・介護、SOGI、年齢・見た目・家族構成、出身地、感染症・病歴などへの「決めつけ」が、なぜ問題になり得るかを説明できる。</w:t>
      </w:r>
    </w:p>
    <w:p>
      <w:pPr>
        <w:pStyle w:val="ListBullet"/>
        <w:spacing w:after="40" w:line="252" w:lineRule="auto"/>
      </w:pPr>
      <w:r>
        <w:rPr>
          <w:rFonts w:ascii="Meiryo" w:hAnsi="Meiryo" w:eastAsia="Meiryo"/>
          <w:color w:val="263238"/>
          <w:sz w:val="21"/>
        </w:rPr>
        <w:t>悪気のない冗談・慣習・本人が笑っていた、といった事情が、問題がないことの理由にはならないと理解する。</w:t>
      </w:r>
    </w:p>
    <w:p>
      <w:pPr>
        <w:pStyle w:val="ListBullet"/>
        <w:spacing w:after="40" w:line="252" w:lineRule="auto"/>
      </w:pPr>
      <w:r>
        <w:rPr>
          <w:rFonts w:ascii="Meiryo" w:hAnsi="Meiryo" w:eastAsia="Meiryo"/>
          <w:color w:val="263238"/>
          <w:sz w:val="21"/>
        </w:rPr>
        <w:t>業務上の必要な確認と、私的な詮索の違いを区別できる。</w:t>
      </w:r>
    </w:p>
    <w:p>
      <w:pPr>
        <w:pStyle w:val="ListBullet"/>
        <w:spacing w:after="40" w:line="252" w:lineRule="auto"/>
      </w:pPr>
      <w:r>
        <w:rPr>
          <w:rFonts w:ascii="Meiryo" w:hAnsi="Meiryo" w:eastAsia="Meiryo"/>
          <w:color w:val="263238"/>
          <w:sz w:val="21"/>
        </w:rPr>
        <w:t>不適切な言動を見聞きしたときに、便乗せず・無理に対立せず、止める／話題を変える／後で声をかける／記録して相談する、という選択肢を持てる。</w:t>
      </w:r>
    </w:p>
    <w:p>
      <w:pPr>
        <w:pStyle w:val="ListBullet"/>
        <w:spacing w:after="40" w:line="252" w:lineRule="auto"/>
      </w:pPr>
      <w:r>
        <w:rPr>
          <w:rFonts w:ascii="Meiryo" w:hAnsi="Meiryo" w:eastAsia="Meiryo"/>
          <w:color w:val="263238"/>
          <w:sz w:val="21"/>
        </w:rPr>
        <w:t>合理的配慮や勤務配慮の申出があったときの初動（決めつけず、本人と確認し、必要に応じて窓口へつなぐ）を理解する。</w:t>
      </w:r>
    </w:p>
    <w:p>
      <w:pPr>
        <w:keepNext/>
        <w:spacing w:before="160" w:after="60"/>
      </w:pPr>
      <w:r>
        <w:rPr>
          <w:rFonts w:ascii="Meiryo" w:hAnsi="Meiryo" w:eastAsia="Meiryo"/>
          <w:b/>
          <w:color w:val="16314F"/>
          <w:sz w:val="24"/>
        </w:rPr>
        <w:t>1-2　10点セットの構成と使い方</w:t>
      </w:r>
    </w:p>
    <w:p>
      <w:pPr>
        <w:spacing w:after="80" w:before="0" w:line="254" w:lineRule="auto"/>
      </w:pPr>
      <w:r>
        <w:rPr>
          <w:rFonts w:ascii="Meiryo" w:hAnsi="Meiryo" w:eastAsia="Meiryo"/>
          <w:color w:val="263238"/>
          <w:sz w:val="21"/>
        </w:rPr>
        <w:t>本シリーズ第8回は、次の10点で構成されています。配布形式・対象は自社の運用に合わせて調整してください。</w:t>
      </w:r>
    </w:p>
    <w:tbl>
      <w:tblPr>
        <w:tblW w:type="auto" w:w="0"/>
        <w:jc w:val="center"/>
        <w:tblLayout w:type="fixed"/>
        <w:tblLook w:firstColumn="1" w:firstRow="1" w:lastColumn="0" w:lastRow="0" w:noHBand="0" w:noVBand="1" w:val="04A0"/>
      </w:tblPr>
      <w:tblGrid>
        <w:gridCol w:w="3628"/>
        <w:gridCol w:w="3742"/>
        <w:gridCol w:w="2268"/>
      </w:tblGrid>
      <w:tr>
        <w:tc>
          <w:tcPr>
            <w:tcW w:type="dxa" w:w="3628"/>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資料</w:t>
            </w:r>
          </w:p>
        </w:tc>
        <w:tc>
          <w:tcPr>
            <w:tcW w:type="dxa" w:w="3742"/>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主な用途</w:t>
            </w:r>
          </w:p>
        </w:tc>
        <w:tc>
          <w:tcPr>
            <w:tcW w:type="dxa" w:w="2268"/>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主な対象</w:t>
            </w:r>
          </w:p>
        </w:tc>
      </w:tr>
      <w:tr>
        <w:tc>
          <w:tcPr>
            <w:tcW w:type="dxa" w:w="362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① スライド（研修用デッキ）</w:t>
            </w:r>
          </w:p>
        </w:tc>
        <w:tc>
          <w:tcPr>
            <w:tcW w:type="dxa" w:w="374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研修本体の投影資料</w:t>
            </w:r>
          </w:p>
        </w:tc>
        <w:tc>
          <w:tcPr>
            <w:tcW w:type="dxa" w:w="226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受講者全員／講師</w:t>
            </w:r>
          </w:p>
        </w:tc>
      </w:tr>
      <w:tr>
        <w:tc>
          <w:tcPr>
            <w:tcW w:type="dxa" w:w="362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② ハンドブック</w:t>
            </w:r>
          </w:p>
        </w:tc>
        <w:tc>
          <w:tcPr>
            <w:tcW w:type="dxa" w:w="374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受講後に各自が読み返す解説資料</w:t>
            </w:r>
          </w:p>
        </w:tc>
        <w:tc>
          <w:tcPr>
            <w:tcW w:type="dxa" w:w="226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受講者全員</w:t>
            </w:r>
          </w:p>
        </w:tc>
      </w:tr>
      <w:tr>
        <w:tc>
          <w:tcPr>
            <w:tcW w:type="dxa" w:w="362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③ ケース問題集</w:t>
            </w:r>
          </w:p>
        </w:tc>
        <w:tc>
          <w:tcPr>
            <w:tcW w:type="dxa" w:w="374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グループ討議・演習用の事例ワーク</w:t>
            </w:r>
          </w:p>
        </w:tc>
        <w:tc>
          <w:tcPr>
            <w:tcW w:type="dxa" w:w="226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受講者全員</w:t>
            </w:r>
          </w:p>
        </w:tc>
      </w:tr>
      <w:tr>
        <w:tc>
          <w:tcPr>
            <w:tcW w:type="dxa" w:w="362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④ 対応ツールキット</w:t>
            </w:r>
          </w:p>
        </w:tc>
        <w:tc>
          <w:tcPr>
            <w:tcW w:type="dxa" w:w="374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発言前チェック・言い換え・相談初動の現場ツール</w:t>
            </w:r>
          </w:p>
        </w:tc>
        <w:tc>
          <w:tcPr>
            <w:tcW w:type="dxa" w:w="226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受講者全員／管理職</w:t>
            </w:r>
          </w:p>
        </w:tc>
      </w:tr>
      <w:tr>
        <w:tc>
          <w:tcPr>
            <w:tcW w:type="dxa" w:w="362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⑤ 確認テスト</w:t>
            </w:r>
          </w:p>
        </w:tc>
        <w:tc>
          <w:tcPr>
            <w:tcW w:type="dxa" w:w="374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理解度の確認（全12問）</w:t>
            </w:r>
          </w:p>
        </w:tc>
        <w:tc>
          <w:tcPr>
            <w:tcW w:type="dxa" w:w="226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受講者全員</w:t>
            </w:r>
          </w:p>
        </w:tc>
      </w:tr>
      <w:tr>
        <w:tc>
          <w:tcPr>
            <w:tcW w:type="dxa" w:w="362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⑥ 解答・解説ガイド</w:t>
            </w:r>
          </w:p>
        </w:tc>
        <w:tc>
          <w:tcPr>
            <w:tcW w:type="dxa" w:w="374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採点と解説（評価ポイント方式）</w:t>
            </w:r>
          </w:p>
        </w:tc>
        <w:tc>
          <w:tcPr>
            <w:tcW w:type="dxa" w:w="226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講師・採点者</w:t>
            </w:r>
          </w:p>
        </w:tc>
      </w:tr>
      <w:tr>
        <w:tc>
          <w:tcPr>
            <w:tcW w:type="dxa" w:w="362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⑦ 講師台本</w:t>
            </w:r>
          </w:p>
        </w:tc>
        <w:tc>
          <w:tcPr>
            <w:tcW w:type="dxa" w:w="374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スライド進行・読み上げ例・想定問答</w:t>
            </w:r>
          </w:p>
        </w:tc>
        <w:tc>
          <w:tcPr>
            <w:tcW w:type="dxa" w:w="226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講師・ファシリテーター</w:t>
            </w:r>
          </w:p>
        </w:tc>
      </w:tr>
      <w:tr>
        <w:tc>
          <w:tcPr>
            <w:tcW w:type="dxa" w:w="362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⑧ 研修運営ガイド（本書）</w:t>
            </w:r>
          </w:p>
        </w:tc>
        <w:tc>
          <w:tcPr>
            <w:tcW w:type="dxa" w:w="374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企画・準備・進行・フォローの手順</w:t>
            </w:r>
          </w:p>
        </w:tc>
        <w:tc>
          <w:tcPr>
            <w:tcW w:type="dxa" w:w="226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研修担当者</w:t>
            </w:r>
          </w:p>
        </w:tc>
      </w:tr>
      <w:tr>
        <w:tc>
          <w:tcPr>
            <w:tcW w:type="dxa" w:w="362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⑨ 管理職向けノート</w:t>
            </w:r>
          </w:p>
        </w:tc>
        <w:tc>
          <w:tcPr>
            <w:tcW w:type="dxa" w:w="374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管理職が現場で使う対応の要点</w:t>
            </w:r>
          </w:p>
        </w:tc>
        <w:tc>
          <w:tcPr>
            <w:tcW w:type="dxa" w:w="226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管理職</w:t>
            </w:r>
          </w:p>
        </w:tc>
      </w:tr>
      <w:tr>
        <w:tc>
          <w:tcPr>
            <w:tcW w:type="dxa" w:w="362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⑩ ブログ記事（HTML）</w:t>
            </w:r>
          </w:p>
        </w:tc>
        <w:tc>
          <w:tcPr>
            <w:tcW w:type="dxa" w:w="374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社内ポータル等での告知・補足</w:t>
            </w:r>
          </w:p>
        </w:tc>
        <w:tc>
          <w:tcPr>
            <w:tcW w:type="dxa" w:w="226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全社／告知担当</w:t>
            </w:r>
          </w:p>
        </w:tc>
      </w:tr>
    </w:tbl>
    <w:p>
      <w:pPr>
        <w:spacing w:after="80"/>
      </w:pPr>
    </w:p>
    <w:tbl>
      <w:tblPr>
        <w:tblW w:type="auto" w:w="0"/>
        <w:tblLayout w:type="fixed"/>
        <w:tblLook w:firstColumn="1" w:firstRow="1" w:lastColumn="0" w:lastRow="0" w:noHBand="0" w:noVBand="1" w:val="04A0"/>
      </w:tblPr>
      <w:tblGrid>
        <w:gridCol w:w="9638"/>
      </w:tblGrid>
      <w:tr>
        <w:tc>
          <w:tcPr>
            <w:tcW w:type="dxa" w:w="9638"/>
            <w:shd w:val="clear" w:color="auto" w:fill="EAEFF4"/>
            <w:tcMar>
              <w:top w:w="90" w:type="dxa"/>
              <w:left w:w="140" w:type="dxa"/>
              <w:bottom w:w="90" w:type="dxa"/>
              <w:right w:w="140" w:type="dxa"/>
            </w:tcMar>
          </w:tcPr>
          <w:p>
            <w:pPr>
              <w:spacing w:after="0" w:line="252" w:lineRule="auto"/>
            </w:pPr>
            <w:r>
              <w:rPr>
                <w:rFonts w:ascii="Meiryo" w:hAnsi="Meiryo" w:eastAsia="Meiryo"/>
                <w:b/>
                <w:color w:val="16314F"/>
                <w:sz w:val="20"/>
              </w:rPr>
              <w:t xml:space="preserve">おすすめの基本セット　</w:t>
            </w:r>
            <w:r>
              <w:rPr>
                <w:rFonts w:ascii="Meiryo" w:hAnsi="Meiryo" w:eastAsia="Meiryo"/>
                <w:color w:val="4A4A4A"/>
                <w:sz w:val="19"/>
              </w:rPr>
              <w:t>標準的な集合研修では、①スライドで進行し、③ケース問題で討議し、⑤確認テストで理解を確認し、②ハンドブックと④ツールキットを持ち帰り資料として配布する、という流れが扱いやすい構成です。講師は⑦講師台本と⑥解答・解説ガイドを手元に置いてください。</w:t>
            </w:r>
          </w:p>
        </w:tc>
      </w:tr>
    </w:tbl>
    <w:p>
      <w:pPr>
        <w:spacing w:after="80"/>
      </w:pPr>
    </w:p>
    <w:p>
      <w:pPr>
        <w:keepNext/>
        <w:spacing w:before="160" w:after="60"/>
      </w:pPr>
      <w:r>
        <w:rPr>
          <w:rFonts w:ascii="Meiryo" w:hAnsi="Meiryo" w:eastAsia="Meiryo"/>
          <w:b/>
          <w:color w:val="16314F"/>
          <w:sz w:val="24"/>
        </w:rPr>
        <w:t>1-3　第4〜7話（ハラスメント研修）との関係</w:t>
      </w:r>
    </w:p>
    <w:p>
      <w:pPr>
        <w:spacing w:after="80" w:before="0" w:line="254" w:lineRule="auto"/>
      </w:pPr>
      <w:r>
        <w:rPr>
          <w:rFonts w:ascii="Meiryo" w:hAnsi="Meiryo" w:eastAsia="Meiryo"/>
          <w:color w:val="263238"/>
          <w:sz w:val="21"/>
        </w:rPr>
        <w:t>本シリーズには、パワハラ（第4回）、セクハラ（第5回）、就活セクハラ（第6回）、カスハラ（第7回）の研修資料があります。本第8回は、これらの個別類型に必ずしも当てはまらない、属性への決めつけ・偏見・不適切発言を広く扱う「人権」の回です。重なり合う部分も多いため、次の整理を共有しておくと混乱が避けられます。</w:t>
      </w:r>
    </w:p>
    <w:tbl>
      <w:tblPr>
        <w:tblW w:type="auto" w:w="0"/>
        <w:jc w:val="center"/>
        <w:tblLayout w:type="fixed"/>
        <w:tblLook w:firstColumn="1" w:firstRow="1" w:lastColumn="0" w:lastRow="0" w:noHBand="0" w:noVBand="1" w:val="04A0"/>
      </w:tblPr>
      <w:tblGrid>
        <w:gridCol w:w="2268"/>
        <w:gridCol w:w="7370"/>
      </w:tblGrid>
      <w:tr>
        <w:tc>
          <w:tcPr>
            <w:tcW w:type="dxa" w:w="2268"/>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観点</w:t>
            </w:r>
          </w:p>
        </w:tc>
        <w:tc>
          <w:tcPr>
            <w:tcW w:type="dxa" w:w="7370"/>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整理の仕方</w:t>
            </w:r>
          </w:p>
        </w:tc>
      </w:tr>
      <w:tr>
        <w:tc>
          <w:tcPr>
            <w:tcW w:type="dxa" w:w="226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対象の言動</w:t>
            </w:r>
          </w:p>
        </w:tc>
        <w:tc>
          <w:tcPr>
            <w:tcW w:type="dxa" w:w="7370"/>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特定のハラスメント類型に当てはまる言動は、各回（第4〜7話）の枠組みで対応する。本回は、類型に当てはまるかどうかにかかわらず、属性への決めつけ・偏見という共通の視点で見直す。</w:t>
            </w:r>
          </w:p>
        </w:tc>
      </w:tr>
      <w:tr>
        <w:tc>
          <w:tcPr>
            <w:tcW w:type="dxa" w:w="226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SOGI・アウティング</w:t>
            </w:r>
          </w:p>
        </w:tc>
        <w:tc>
          <w:tcPr>
            <w:tcW w:type="dxa" w:w="7370"/>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侮辱的言動やアウティング（同意のない暴露）は、パワハラ指針の「個の侵害」型などに当たり得る。第4・5回とも関連づけて説明する。</w:t>
            </w:r>
          </w:p>
        </w:tc>
      </w:tr>
      <w:tr>
        <w:tc>
          <w:tcPr>
            <w:tcW w:type="dxa" w:w="226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相談・対応の窓口</w:t>
            </w:r>
          </w:p>
        </w:tc>
        <w:tc>
          <w:tcPr>
            <w:tcW w:type="dxa" w:w="7370"/>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相談窓口や対応フローは、各回で別々のものを作るのではなく、自社の既存窓口に集約して案内する（要・自社記入）。</w:t>
            </w:r>
          </w:p>
        </w:tc>
      </w:tr>
    </w:tbl>
    <w:p>
      <w:r>
        <w:br w:type="page"/>
      </w:r>
    </w:p>
    <w:p>
      <w:pPr>
        <w:keepNext/>
        <w:pBdr>
          <w:bottom w:val="single" w:sz="10" w:space="6" w:color="B58A3A"/>
        </w:pBdr>
        <w:spacing w:before="240" w:after="120"/>
      </w:pPr>
      <w:r>
        <w:rPr>
          <w:rFonts w:ascii="Meiryo" w:hAnsi="Meiryo" w:eastAsia="Meiryo"/>
          <w:b/>
          <w:color w:val="16314F"/>
          <w:sz w:val="30"/>
        </w:rPr>
        <w:t>第2部　実施前の準備（規程整合・カスタマイズ）</w:t>
      </w:r>
    </w:p>
    <w:p>
      <w:pPr>
        <w:keepNext/>
        <w:spacing w:before="160" w:after="60"/>
      </w:pPr>
      <w:r>
        <w:rPr>
          <w:rFonts w:ascii="Meiryo" w:hAnsi="Meiryo" w:eastAsia="Meiryo"/>
          <w:b/>
          <w:color w:val="16314F"/>
          <w:sz w:val="24"/>
        </w:rPr>
        <w:t>2-1　自社規程・窓口との整合確認チェックリスト</w:t>
      </w:r>
    </w:p>
    <w:p>
      <w:pPr>
        <w:spacing w:after="80" w:before="0" w:line="254" w:lineRule="auto"/>
      </w:pPr>
      <w:r>
        <w:rPr>
          <w:rFonts w:ascii="Meiryo" w:hAnsi="Meiryo" w:eastAsia="Meiryo"/>
          <w:color w:val="263238"/>
          <w:sz w:val="21"/>
        </w:rPr>
        <w:t>本資料は一般的な法令・指針・人権啓発の考え方に基づいています。実施前に、自社の規程・窓口・運用と矛盾がないかを確認し、必要な情報を記入してください。</w:t>
      </w:r>
    </w:p>
    <w:tbl>
      <w:tblPr>
        <w:tblW w:type="auto" w:w="0"/>
        <w:jc w:val="center"/>
        <w:tblLayout w:type="fixed"/>
        <w:tblLook w:firstColumn="1" w:firstRow="1" w:lastColumn="0" w:lastRow="0" w:noHBand="0" w:noVBand="1" w:val="04A0"/>
      </w:tblPr>
      <w:tblGrid>
        <w:gridCol w:w="4819"/>
        <w:gridCol w:w="4819"/>
      </w:tblGrid>
      <w:tr>
        <w:tc>
          <w:tcPr>
            <w:tcW w:type="dxa" w:w="351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相談窓口の名称・連絡先（社内）</w:t>
            </w:r>
          </w:p>
        </w:tc>
        <w:tc>
          <w:tcPr>
            <w:tcW w:type="dxa" w:w="612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例：人事部ハラスメント相談窓口　内線・メール等</w:t>
            </w:r>
          </w:p>
          <w:p>
            <w:pPr>
              <w:spacing w:after="0"/>
            </w:pPr>
          </w:p>
        </w:tc>
      </w:tr>
      <w:tr>
        <w:tc>
          <w:tcPr>
            <w:tcW w:type="dxa" w:w="351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相談窓口（社外・第三者窓口）</w:t>
            </w:r>
          </w:p>
        </w:tc>
        <w:tc>
          <w:tcPr>
            <w:tcW w:type="dxa" w:w="612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ある場合は名称・連絡先</w:t>
            </w:r>
          </w:p>
        </w:tc>
      </w:tr>
      <w:tr>
        <w:tc>
          <w:tcPr>
            <w:tcW w:type="dxa" w:w="351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ハラスメント防止規程の名称・該当条項</w:t>
            </w:r>
          </w:p>
        </w:tc>
        <w:tc>
          <w:tcPr>
            <w:tcW w:type="dxa" w:w="612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p>
        </w:tc>
      </w:tr>
      <w:tr>
        <w:tc>
          <w:tcPr>
            <w:tcW w:type="dxa" w:w="351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就業規則の該当条項（差別禁止・服務規律等）</w:t>
            </w:r>
          </w:p>
        </w:tc>
        <w:tc>
          <w:tcPr>
            <w:tcW w:type="dxa" w:w="612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p>
        </w:tc>
      </w:tr>
      <w:tr>
        <w:tc>
          <w:tcPr>
            <w:tcW w:type="dxa" w:w="351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個人情報・要配慮個人情報の取扱ルール</w:t>
            </w:r>
          </w:p>
        </w:tc>
        <w:tc>
          <w:tcPr>
            <w:tcW w:type="dxa" w:w="612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病歴・障害・信条等の取扱い</w:t>
            </w:r>
          </w:p>
          <w:p>
            <w:pPr>
              <w:spacing w:after="0"/>
            </w:pPr>
          </w:p>
        </w:tc>
      </w:tr>
      <w:tr>
        <w:tc>
          <w:tcPr>
            <w:tcW w:type="dxa" w:w="351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健康情報・障害情報の取扱ルール／産業保健の窓口</w:t>
            </w:r>
          </w:p>
        </w:tc>
        <w:tc>
          <w:tcPr>
            <w:tcW w:type="dxa" w:w="612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p>
          <w:p>
            <w:pPr>
              <w:spacing w:after="0"/>
            </w:pPr>
          </w:p>
        </w:tc>
      </w:tr>
      <w:tr>
        <w:tc>
          <w:tcPr>
            <w:tcW w:type="dxa" w:w="351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合理的配慮・勤務配慮の申出先・手続</w:t>
            </w:r>
          </w:p>
        </w:tc>
        <w:tc>
          <w:tcPr>
            <w:tcW w:type="dxa" w:w="612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p>
          <w:p>
            <w:pPr>
              <w:spacing w:after="0"/>
            </w:pPr>
          </w:p>
        </w:tc>
      </w:tr>
      <w:tr>
        <w:tc>
          <w:tcPr>
            <w:tcW w:type="dxa" w:w="351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生成AI利用ルール（機微情報の入力可否等）</w:t>
            </w:r>
          </w:p>
        </w:tc>
        <w:tc>
          <w:tcPr>
            <w:tcW w:type="dxa" w:w="612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p>
          <w:p>
            <w:pPr>
              <w:spacing w:after="0"/>
            </w:pPr>
          </w:p>
        </w:tc>
      </w:tr>
    </w:tbl>
    <w:tbl>
      <w:tblPr>
        <w:tblW w:type="auto" w:w="0"/>
        <w:tblLayout w:type="fixed"/>
        <w:tblLook w:firstColumn="1" w:firstRow="1" w:lastColumn="0" w:lastRow="0" w:noHBand="0" w:noVBand="1" w:val="04A0"/>
      </w:tblPr>
      <w:tblGrid>
        <w:gridCol w:w="9638"/>
      </w:tblGrid>
      <w:tr>
        <w:tc>
          <w:tcPr>
            <w:tcW w:type="dxa" w:w="9638"/>
            <w:shd w:val="clear" w:color="auto" w:fill="F4EEE1"/>
            <w:tcMar>
              <w:top w:w="90" w:type="dxa"/>
              <w:left w:w="140" w:type="dxa"/>
              <w:bottom w:w="90" w:type="dxa"/>
              <w:right w:w="140" w:type="dxa"/>
            </w:tcMar>
          </w:tcPr>
          <w:p>
            <w:pPr>
              <w:spacing w:after="0" w:line="252" w:lineRule="auto"/>
            </w:pPr>
            <w:r>
              <w:rPr>
                <w:rFonts w:ascii="Meiryo" w:hAnsi="Meiryo" w:eastAsia="Meiryo"/>
                <w:b/>
                <w:color w:val="B58A3A"/>
                <w:sz w:val="20"/>
              </w:rPr>
              <w:t xml:space="preserve">確認のポイント　</w:t>
            </w:r>
            <w:r>
              <w:rPr>
                <w:rFonts w:ascii="Meiryo" w:hAnsi="Meiryo" w:eastAsia="Meiryo"/>
                <w:color w:val="4A4A4A"/>
                <w:sz w:val="19"/>
              </w:rPr>
              <w:t>資料中の表現が自社規程と食い違う場合は、自社規程の表現に合わせてスライド・ハンドブックを修正してください。特に、窓口名・連絡先、合理的配慮の申出手続、生成AIの利用ルールは会社ごとに異なるため、必ず自社の最新ルールに置き換えます。</w:t>
            </w:r>
          </w:p>
        </w:tc>
      </w:tr>
    </w:tbl>
    <w:p>
      <w:pPr>
        <w:spacing w:after="80"/>
      </w:pPr>
    </w:p>
    <w:p>
      <w:pPr>
        <w:keepNext/>
        <w:spacing w:before="160" w:after="60"/>
      </w:pPr>
      <w:r>
        <w:rPr>
          <w:rFonts w:ascii="Meiryo" w:hAnsi="Meiryo" w:eastAsia="Meiryo"/>
          <w:b/>
          <w:color w:val="16314F"/>
          <w:sz w:val="24"/>
        </w:rPr>
        <w:t>2-2　自社カスタマイズ・チェックリスト</w:t>
      </w:r>
    </w:p>
    <w:p>
      <w:pPr>
        <w:spacing w:after="80" w:before="0" w:line="254" w:lineRule="auto"/>
      </w:pPr>
      <w:r>
        <w:rPr>
          <w:rFonts w:ascii="Meiryo" w:hAnsi="Meiryo" w:eastAsia="Meiryo"/>
          <w:color w:val="263238"/>
          <w:sz w:val="21"/>
        </w:rPr>
        <w:t>次の箇所は、自社の実情に合わせて調整することを推奨します。実施前に確認しながらチェックしてください。</w:t>
      </w:r>
    </w:p>
    <w:tbl>
      <w:tblPr>
        <w:tblW w:type="auto" w:w="0"/>
        <w:jc w:val="center"/>
        <w:tblLayout w:type="fixed"/>
        <w:tblLook w:firstColumn="1" w:firstRow="1" w:lastColumn="0" w:lastRow="0" w:noHBand="0" w:noVBand="1" w:val="04A0"/>
      </w:tblPr>
      <w:tblGrid>
        <w:gridCol w:w="3061"/>
        <w:gridCol w:w="6576"/>
      </w:tblGrid>
      <w:tr>
        <w:tc>
          <w:tcPr>
            <w:tcW w:type="dxa" w:w="3061"/>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確認項目</w:t>
            </w:r>
          </w:p>
        </w:tc>
        <w:tc>
          <w:tcPr>
            <w:tcW w:type="dxa" w:w="6576"/>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対応の目安</w:t>
            </w:r>
          </w:p>
        </w:tc>
      </w:tr>
      <w:tr>
        <w:tc>
          <w:tcPr>
            <w:tcW w:type="dxa" w:w="306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窓口・連絡先の差し替え</w:t>
            </w:r>
          </w:p>
        </w:tc>
        <w:tc>
          <w:tcPr>
            <w:tcW w:type="dxa" w:w="6576"/>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スライド「自社窓口」、ツールキット、管理職ノートの空欄を自社の窓口に置き換える。</w:t>
            </w:r>
          </w:p>
        </w:tc>
      </w:tr>
      <w:tr>
        <w:tc>
          <w:tcPr>
            <w:tcW w:type="dxa" w:w="3061"/>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地名・国籍・属性の具体例</w:t>
            </w:r>
          </w:p>
        </w:tc>
        <w:tc>
          <w:tcPr>
            <w:tcW w:type="dxa" w:w="6576"/>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資料は特定の地名・国籍・個人を挙げていない。自社で例を足す場合も、実在の地名・属性・個人を名指しせず、ステレオタイプを強める表現にしない。</w:t>
            </w:r>
          </w:p>
        </w:tc>
      </w:tr>
      <w:tr>
        <w:tc>
          <w:tcPr>
            <w:tcW w:type="dxa" w:w="306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自社の事例の追加</w:t>
            </w:r>
          </w:p>
        </w:tc>
        <w:tc>
          <w:tcPr>
            <w:tcW w:type="dxa" w:w="6576"/>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過去の相談事例を使う場合は、匿名加工し、個人が特定されない形にする。生々しい記述は避ける。</w:t>
            </w:r>
          </w:p>
        </w:tc>
      </w:tr>
      <w:tr>
        <w:tc>
          <w:tcPr>
            <w:tcW w:type="dxa" w:w="3061"/>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基準日・法改正の反映</w:t>
            </w:r>
          </w:p>
        </w:tc>
        <w:tc>
          <w:tcPr>
            <w:tcW w:type="dxa" w:w="6576"/>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実施日時点の最新の法令・制度に更新する（後述の版管理を参照）。</w:t>
            </w:r>
          </w:p>
        </w:tc>
      </w:tr>
      <w:tr>
        <w:tc>
          <w:tcPr>
            <w:tcW w:type="dxa" w:w="306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業種特有のリスク</w:t>
            </w:r>
          </w:p>
        </w:tc>
        <w:tc>
          <w:tcPr>
            <w:tcW w:type="dxa" w:w="6576"/>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顧客接点・現場作業・多国籍チームなど、自社の業種特有の場面を補う。</w:t>
            </w:r>
          </w:p>
        </w:tc>
      </w:tr>
      <w:tr>
        <w:tc>
          <w:tcPr>
            <w:tcW w:type="dxa" w:w="3061"/>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所要時間・対象範囲</w:t>
            </w:r>
          </w:p>
        </w:tc>
        <w:tc>
          <w:tcPr>
            <w:tcW w:type="dxa" w:w="6576"/>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対象者と時間に合わせてスライドの取捨選択を行う（第3部参照）。</w:t>
            </w:r>
          </w:p>
        </w:tc>
      </w:tr>
    </w:tbl>
    <w:p>
      <w:pPr>
        <w:spacing w:after="60"/>
      </w:pPr>
    </w:p>
    <w:tbl>
      <w:tblPr>
        <w:tblW w:type="auto" w:w="0"/>
        <w:tblLayout w:type="fixed"/>
        <w:tblLook w:firstColumn="1" w:firstRow="1" w:lastColumn="0" w:lastRow="0" w:noHBand="0" w:noVBand="1" w:val="04A0"/>
      </w:tblPr>
      <w:tblGrid>
        <w:gridCol w:w="9638"/>
      </w:tblGrid>
      <w:tr>
        <w:tc>
          <w:tcPr>
            <w:tcW w:type="dxa" w:w="9638"/>
            <w:shd w:val="clear" w:color="auto" w:fill="FBECEA"/>
            <w:tcMar>
              <w:top w:w="90" w:type="dxa"/>
              <w:left w:w="140" w:type="dxa"/>
              <w:bottom w:w="90" w:type="dxa"/>
              <w:right w:w="140" w:type="dxa"/>
            </w:tcMar>
          </w:tcPr>
          <w:p>
            <w:pPr>
              <w:spacing w:after="0" w:line="252" w:lineRule="auto"/>
            </w:pPr>
            <w:r>
              <w:rPr>
                <w:rFonts w:ascii="Meiryo" w:hAnsi="Meiryo" w:eastAsia="Meiryo"/>
                <w:b/>
                <w:color w:val="B42318"/>
                <w:sz w:val="20"/>
              </w:rPr>
              <w:t xml:space="preserve">やってはいけないカスタマイズ　</w:t>
            </w:r>
            <w:r>
              <w:rPr>
                <w:rFonts w:ascii="Meiryo" w:hAnsi="Meiryo" w:eastAsia="Meiryo"/>
                <w:color w:val="4A4A4A"/>
                <w:sz w:val="19"/>
              </w:rPr>
              <w:t>受講者を萎縮させる目的で「とにかく何も話すな」という運用にする、特定の部署や個人を名指しして例にする、実在の地名・国籍・出身を具体的に挙げて偏見を補強する、といった改変は避けてください。本研修のねらいは、雑談を一律に禁止することではなく、決めつけを避けて対等に接することです。</w:t>
            </w:r>
          </w:p>
        </w:tc>
      </w:tr>
    </w:tbl>
    <w:p>
      <w:pPr>
        <w:spacing w:after="80"/>
      </w:pPr>
    </w:p>
    <w:p>
      <w:pPr>
        <w:keepNext/>
        <w:spacing w:before="160" w:after="60"/>
      </w:pPr>
      <w:r>
        <w:rPr>
          <w:rFonts w:ascii="Meiryo" w:hAnsi="Meiryo" w:eastAsia="Meiryo"/>
          <w:b/>
          <w:color w:val="16314F"/>
          <w:sz w:val="24"/>
        </w:rPr>
        <w:t>2-3　講師・ファシリテーターの準備</w:t>
      </w:r>
    </w:p>
    <w:p>
      <w:pPr>
        <w:pStyle w:val="ListBullet"/>
        <w:spacing w:after="40" w:line="252" w:lineRule="auto"/>
      </w:pPr>
      <w:r>
        <w:rPr>
          <w:rFonts w:ascii="Meiryo" w:hAnsi="Meiryo" w:eastAsia="Meiryo"/>
          <w:color w:val="263238"/>
          <w:sz w:val="21"/>
        </w:rPr>
        <w:t>⑦講師台本と⑥解答・解説ガイドに事前に目を通し、各スライドのねらいと想定問答を把握する。</w:t>
      </w:r>
    </w:p>
    <w:p>
      <w:pPr>
        <w:pStyle w:val="ListBullet"/>
        <w:spacing w:after="40" w:line="252" w:lineRule="auto"/>
      </w:pPr>
      <w:r>
        <w:rPr>
          <w:rFonts w:ascii="Meiryo" w:hAnsi="Meiryo" w:eastAsia="Meiryo"/>
          <w:color w:val="263238"/>
          <w:sz w:val="21"/>
        </w:rPr>
        <w:t>「義務」「推奨」「啓発」の区別（法律上の義務か、推奨される実務か、人権啓発上の説明か）を理解しておく。受講者から「それは法律で決まっているのか」と問われたときに、断定しすぎず正確に答えられるようにする。</w:t>
      </w:r>
    </w:p>
    <w:p>
      <w:pPr>
        <w:pStyle w:val="ListBullet"/>
        <w:spacing w:after="40" w:line="252" w:lineRule="auto"/>
      </w:pPr>
      <w:r>
        <w:rPr>
          <w:rFonts w:ascii="Meiryo" w:hAnsi="Meiryo" w:eastAsia="Meiryo"/>
          <w:color w:val="263238"/>
          <w:sz w:val="21"/>
        </w:rPr>
        <w:t>自分が答えを断定できない法的な質問は、その場で無理に断定せず、窓口・人事・法務に確認するとして引き取る。</w:t>
      </w:r>
    </w:p>
    <w:p>
      <w:pPr>
        <w:pStyle w:val="ListBullet"/>
        <w:spacing w:after="40" w:line="252" w:lineRule="auto"/>
      </w:pPr>
      <w:r>
        <w:rPr>
          <w:rFonts w:ascii="Meiryo" w:hAnsi="Meiryo" w:eastAsia="Meiryo"/>
          <w:color w:val="263238"/>
          <w:sz w:val="21"/>
        </w:rPr>
        <w:t>進行役が一人で抱えないよう、相談が出た場合の連絡先（人事・産業保健・法務）をあらかじめ手元に用意する。</w:t>
      </w:r>
    </w:p>
    <w:p>
      <w:pPr>
        <w:keepNext/>
        <w:spacing w:before="160" w:after="60"/>
      </w:pPr>
      <w:r>
        <w:rPr>
          <w:rFonts w:ascii="Meiryo" w:hAnsi="Meiryo" w:eastAsia="Meiryo"/>
          <w:b/>
          <w:color w:val="16314F"/>
          <w:sz w:val="24"/>
        </w:rPr>
        <w:t>2-4　会場・オンライン・配布物の準備</w:t>
      </w:r>
    </w:p>
    <w:p>
      <w:pPr>
        <w:pStyle w:val="ListBullet"/>
        <w:spacing w:after="40" w:line="252" w:lineRule="auto"/>
      </w:pPr>
      <w:r>
        <w:rPr>
          <w:rFonts w:ascii="Meiryo" w:hAnsi="Meiryo" w:eastAsia="Meiryo"/>
          <w:color w:val="263238"/>
          <w:sz w:val="21"/>
        </w:rPr>
        <w:t>集合形式：スライド投影、グループ討議のための座席配置、ケース問題と確認テストの印刷部数を確認する。</w:t>
      </w:r>
    </w:p>
    <w:p>
      <w:pPr>
        <w:pStyle w:val="ListBullet"/>
        <w:spacing w:after="40" w:line="252" w:lineRule="auto"/>
      </w:pPr>
      <w:r>
        <w:rPr>
          <w:rFonts w:ascii="Meiryo" w:hAnsi="Meiryo" w:eastAsia="Meiryo"/>
          <w:color w:val="263238"/>
          <w:sz w:val="21"/>
        </w:rPr>
        <w:t>オンライン形式：画面共有、ブレイクアウトでの討議、チャットの扱い（チャットも記録に残る前提で運用する）を確認する。</w:t>
      </w:r>
    </w:p>
    <w:p>
      <w:pPr>
        <w:pStyle w:val="ListBullet"/>
        <w:spacing w:after="40" w:line="252" w:lineRule="auto"/>
      </w:pPr>
      <w:r>
        <w:rPr>
          <w:rFonts w:ascii="Meiryo" w:hAnsi="Meiryo" w:eastAsia="Meiryo"/>
          <w:color w:val="263238"/>
          <w:sz w:val="21"/>
        </w:rPr>
        <w:t>配布物：ハンドブック・ツールキットは持ち帰り資料として配布する。確認テストは回収または各自保管のいずれにするかを決める。</w:t>
      </w:r>
    </w:p>
    <w:p>
      <w:r>
        <w:br w:type="page"/>
      </w:r>
    </w:p>
    <w:p>
      <w:pPr>
        <w:keepNext/>
        <w:pBdr>
          <w:bottom w:val="single" w:sz="10" w:space="6" w:color="B58A3A"/>
        </w:pBdr>
        <w:spacing w:before="240" w:after="120"/>
      </w:pPr>
      <w:r>
        <w:rPr>
          <w:rFonts w:ascii="Meiryo" w:hAnsi="Meiryo" w:eastAsia="Meiryo"/>
          <w:b/>
          <w:color w:val="16314F"/>
          <w:sz w:val="30"/>
        </w:rPr>
        <w:t>第3部　対象者別の実施方法</w:t>
      </w:r>
    </w:p>
    <w:p>
      <w:pPr>
        <w:spacing w:after="80" w:before="0" w:line="254" w:lineRule="auto"/>
      </w:pPr>
      <w:r>
        <w:rPr>
          <w:rFonts w:ascii="Meiryo" w:hAnsi="Meiryo" w:eastAsia="Meiryo"/>
          <w:color w:val="263238"/>
          <w:sz w:val="21"/>
        </w:rPr>
        <w:t>対象者に応じて時間配分と重点スライドを変えると効果が高まります。下表を目安に、自社の事情に合わせて調整してください（スライド番号は①スライドの番号に対応します）。</w:t>
      </w:r>
    </w:p>
    <w:tbl>
      <w:tblPr>
        <w:tblW w:type="auto" w:w="0"/>
        <w:jc w:val="center"/>
        <w:tblLayout w:type="fixed"/>
        <w:tblLook w:firstColumn="1" w:firstRow="1" w:lastColumn="0" w:lastRow="0" w:noHBand="0" w:noVBand="1" w:val="04A0"/>
      </w:tblPr>
      <w:tblGrid>
        <w:gridCol w:w="2381"/>
        <w:gridCol w:w="1474"/>
        <w:gridCol w:w="5783"/>
      </w:tblGrid>
      <w:tr>
        <w:tc>
          <w:tcPr>
            <w:tcW w:type="dxa" w:w="2381"/>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対象・形式</w:t>
            </w:r>
          </w:p>
        </w:tc>
        <w:tc>
          <w:tcPr>
            <w:tcW w:type="dxa" w:w="1474"/>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推奨時間</w:t>
            </w:r>
          </w:p>
        </w:tc>
        <w:tc>
          <w:tcPr>
            <w:tcW w:type="dxa" w:w="5783"/>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重点とアレンジ</w:t>
            </w:r>
          </w:p>
        </w:tc>
      </w:tr>
      <w:tr>
        <w:tc>
          <w:tcPr>
            <w:tcW w:type="dxa" w:w="238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全社員（標準）</w:t>
            </w:r>
          </w:p>
        </w:tc>
        <w:tc>
          <w:tcPr>
            <w:tcW w:type="dxa" w:w="1474"/>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約50分</w:t>
            </w:r>
          </w:p>
        </w:tc>
        <w:tc>
          <w:tcPr>
            <w:tcW w:type="dxa" w:w="5783"/>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導入〜行動原則まで一通り。ケースは2〜3件に絞り、確認テストで締める。</w:t>
            </w:r>
          </w:p>
        </w:tc>
      </w:tr>
      <w:tr>
        <w:tc>
          <w:tcPr>
            <w:tcW w:type="dxa" w:w="2381"/>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管理職</w:t>
            </w:r>
          </w:p>
        </w:tc>
        <w:tc>
          <w:tcPr>
            <w:tcW w:type="dxa" w:w="1474"/>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70〜80分</w:t>
            </w:r>
          </w:p>
        </w:tc>
        <w:tc>
          <w:tcPr>
            <w:tcW w:type="dxa" w:w="5783"/>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標準に加え、相談初動・合理的配慮フロー・機微情報の共有範囲・双方への説明を重点化。⑨管理職ノートとロールプレイを追加（⑦講師台本の拡張セクション参照）。</w:t>
            </w:r>
          </w:p>
        </w:tc>
      </w:tr>
      <w:tr>
        <w:tc>
          <w:tcPr>
            <w:tcW w:type="dxa" w:w="238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新入社員・中途入社</w:t>
            </w:r>
          </w:p>
        </w:tc>
        <w:tc>
          <w:tcPr>
            <w:tcW w:type="dxa" w:w="1474"/>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40〜50分</w:t>
            </w:r>
          </w:p>
        </w:tc>
        <w:tc>
          <w:tcPr>
            <w:tcW w:type="dxa" w:w="5783"/>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基本の考え方（決めつけを避ける・私的な詮索を避ける・見聞きしたときの選択肢）を中心に。自社の窓口案内を丁寧に行う。</w:t>
            </w:r>
          </w:p>
        </w:tc>
      </w:tr>
      <w:tr>
        <w:tc>
          <w:tcPr>
            <w:tcW w:type="dxa" w:w="2381"/>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eラーニング・動画</w:t>
            </w:r>
          </w:p>
        </w:tc>
        <w:tc>
          <w:tcPr>
            <w:tcW w:type="dxa" w:w="1474"/>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20〜30分目安</w:t>
            </w:r>
          </w:p>
        </w:tc>
        <w:tc>
          <w:tcPr>
            <w:tcW w:type="dxa" w:w="5783"/>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一方向になりやすいため、確認テストとアンケートで理解と疑問を必ず拾う。質問の受け皿（窓口）を明示する。</w:t>
            </w:r>
          </w:p>
        </w:tc>
      </w:tr>
      <w:tr>
        <w:tc>
          <w:tcPr>
            <w:tcW w:type="dxa" w:w="238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少人数・1on1</w:t>
            </w:r>
          </w:p>
        </w:tc>
        <w:tc>
          <w:tcPr>
            <w:tcW w:type="dxa" w:w="1474"/>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随時</w:t>
            </w:r>
          </w:p>
        </w:tc>
        <w:tc>
          <w:tcPr>
            <w:tcW w:type="dxa" w:w="5783"/>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個人を詰問する場にしない。一般的な考え方の共有にとどめ、具体的な相談が出たら第5部の初動に従う。</w:t>
            </w:r>
          </w:p>
        </w:tc>
      </w:tr>
    </w:tbl>
    <w:p>
      <w:pPr>
        <w:spacing w:after="80"/>
      </w:pPr>
    </w:p>
    <w:tbl>
      <w:tblPr>
        <w:tblW w:type="auto" w:w="0"/>
        <w:tblLayout w:type="fixed"/>
        <w:tblLook w:firstColumn="1" w:firstRow="1" w:lastColumn="0" w:lastRow="0" w:noHBand="0" w:noVBand="1" w:val="04A0"/>
      </w:tblPr>
      <w:tblGrid>
        <w:gridCol w:w="9638"/>
      </w:tblGrid>
      <w:tr>
        <w:tc>
          <w:tcPr>
            <w:tcW w:type="dxa" w:w="9638"/>
            <w:shd w:val="clear" w:color="auto" w:fill="EAEFF4"/>
            <w:tcMar>
              <w:top w:w="90" w:type="dxa"/>
              <w:left w:w="140" w:type="dxa"/>
              <w:bottom w:w="90" w:type="dxa"/>
              <w:right w:w="140" w:type="dxa"/>
            </w:tcMar>
          </w:tcPr>
          <w:p>
            <w:pPr>
              <w:spacing w:after="0" w:line="252" w:lineRule="auto"/>
            </w:pPr>
            <w:r>
              <w:rPr>
                <w:rFonts w:ascii="Meiryo" w:hAnsi="Meiryo" w:eastAsia="Meiryo"/>
                <w:b/>
                <w:color w:val="16314F"/>
                <w:sz w:val="20"/>
              </w:rPr>
              <w:t xml:space="preserve">オンライン・動画化のときの注意　</w:t>
            </w:r>
            <w:r>
              <w:rPr>
                <w:rFonts w:ascii="Meiryo" w:hAnsi="Meiryo" w:eastAsia="Meiryo"/>
                <w:color w:val="4A4A4A"/>
                <w:sz w:val="19"/>
              </w:rPr>
              <w:t>録画やeラーニングでは、受講者の表情や反応が見えにくく、当事者がいても気づけません。センシティブな内容に触れる前に「無理に自分の体験を共有する必要はありません」と一言添え、質問や相談は窓口へつなげる導線を明確にしてください。</w:t>
            </w:r>
          </w:p>
        </w:tc>
      </w:tr>
    </w:tbl>
    <w:p>
      <w:pPr>
        <w:spacing w:after="80"/>
      </w:pPr>
    </w:p>
    <w:p>
      <w:r>
        <w:br w:type="page"/>
      </w:r>
    </w:p>
    <w:p>
      <w:pPr>
        <w:keepNext/>
        <w:pBdr>
          <w:bottom w:val="single" w:sz="10" w:space="6" w:color="B58A3A"/>
        </w:pBdr>
        <w:spacing w:before="240" w:after="120"/>
      </w:pPr>
      <w:r>
        <w:rPr>
          <w:rFonts w:ascii="Meiryo" w:hAnsi="Meiryo" w:eastAsia="Meiryo"/>
          <w:b/>
          <w:color w:val="16314F"/>
          <w:sz w:val="30"/>
        </w:rPr>
        <w:t>第4部　当日の進行と心理的負担への配慮</w:t>
      </w:r>
    </w:p>
    <w:p>
      <w:pPr>
        <w:keepNext/>
        <w:spacing w:before="160" w:after="60"/>
      </w:pPr>
      <w:r>
        <w:rPr>
          <w:rFonts w:ascii="Meiryo" w:hAnsi="Meiryo" w:eastAsia="Meiryo"/>
          <w:b/>
          <w:color w:val="16314F"/>
          <w:sz w:val="24"/>
        </w:rPr>
        <w:t>4-1　標準タイムテーブル（全社員・約50分）</w:t>
      </w:r>
    </w:p>
    <w:tbl>
      <w:tblPr>
        <w:tblW w:type="auto" w:w="0"/>
        <w:jc w:val="center"/>
        <w:tblLayout w:type="fixed"/>
        <w:tblLook w:firstColumn="1" w:firstRow="1" w:lastColumn="0" w:lastRow="0" w:noHBand="0" w:noVBand="1" w:val="04A0"/>
      </w:tblPr>
      <w:tblGrid>
        <w:gridCol w:w="1474"/>
        <w:gridCol w:w="6236"/>
        <w:gridCol w:w="1928"/>
      </w:tblGrid>
      <w:tr>
        <w:tc>
          <w:tcPr>
            <w:tcW w:type="dxa" w:w="1474"/>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時間</w:t>
            </w:r>
          </w:p>
        </w:tc>
        <w:tc>
          <w:tcPr>
            <w:tcW w:type="dxa" w:w="6236"/>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内容</w:t>
            </w:r>
          </w:p>
        </w:tc>
        <w:tc>
          <w:tcPr>
            <w:tcW w:type="dxa" w:w="1928"/>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使う資料</w:t>
            </w:r>
          </w:p>
        </w:tc>
      </w:tr>
      <w:tr>
        <w:tc>
          <w:tcPr>
            <w:tcW w:type="dxa" w:w="1474"/>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0–5分</w:t>
            </w:r>
          </w:p>
        </w:tc>
        <w:tc>
          <w:tcPr>
            <w:tcW w:type="dxa" w:w="6236"/>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導入・本研修のねらい・3つの約束（責めない／特定しない／無理に話させない）</w:t>
            </w:r>
          </w:p>
        </w:tc>
        <w:tc>
          <w:tcPr>
            <w:tcW w:type="dxa" w:w="192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スライド 1–3</w:t>
            </w:r>
          </w:p>
        </w:tc>
      </w:tr>
      <w:tr>
        <w:tc>
          <w:tcPr>
            <w:tcW w:type="dxa" w:w="1474"/>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5–20分</w:t>
            </w:r>
          </w:p>
        </w:tc>
        <w:tc>
          <w:tcPr>
            <w:tcW w:type="dxa" w:w="6236"/>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人権リスクとは・属性への決めつけ・主要な場面（国籍/障害/育児/SOGI 等）</w:t>
            </w:r>
          </w:p>
        </w:tc>
        <w:tc>
          <w:tcPr>
            <w:tcW w:type="dxa" w:w="192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スライド 6–19</w:t>
            </w:r>
          </w:p>
        </w:tc>
      </w:tr>
      <w:tr>
        <w:tc>
          <w:tcPr>
            <w:tcW w:type="dxa" w:w="1474"/>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20–30分</w:t>
            </w:r>
          </w:p>
        </w:tc>
        <w:tc>
          <w:tcPr>
            <w:tcW w:type="dxa" w:w="6236"/>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発言前の10秒チェック・言い換え・見聞きしたときの対応</w:t>
            </w:r>
          </w:p>
        </w:tc>
        <w:tc>
          <w:tcPr>
            <w:tcW w:type="dxa" w:w="192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スライド 20–25・④ツールキット</w:t>
            </w:r>
          </w:p>
        </w:tc>
      </w:tr>
      <w:tr>
        <w:tc>
          <w:tcPr>
            <w:tcW w:type="dxa" w:w="1474"/>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30–43分</w:t>
            </w:r>
          </w:p>
        </w:tc>
        <w:tc>
          <w:tcPr>
            <w:tcW w:type="dxa" w:w="6236"/>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ケース討議（2〜3件）と共有</w:t>
            </w:r>
          </w:p>
        </w:tc>
        <w:tc>
          <w:tcPr>
            <w:tcW w:type="dxa" w:w="192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③ケース問題集</w:t>
            </w:r>
          </w:p>
        </w:tc>
      </w:tr>
      <w:tr>
        <w:tc>
          <w:tcPr>
            <w:tcW w:type="dxa" w:w="1474"/>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43–48分</w:t>
            </w:r>
          </w:p>
        </w:tc>
        <w:tc>
          <w:tcPr>
            <w:tcW w:type="dxa" w:w="6236"/>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行動原則・自社窓口の案内</w:t>
            </w:r>
          </w:p>
        </w:tc>
        <w:tc>
          <w:tcPr>
            <w:tcW w:type="dxa" w:w="1928"/>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スライド 36・自社窓口</w:t>
            </w:r>
          </w:p>
        </w:tc>
      </w:tr>
      <w:tr>
        <w:tc>
          <w:tcPr>
            <w:tcW w:type="dxa" w:w="1474"/>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48–50分</w:t>
            </w:r>
          </w:p>
        </w:tc>
        <w:tc>
          <w:tcPr>
            <w:tcW w:type="dxa" w:w="6236"/>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確認テストの案内・まとめ</w:t>
            </w:r>
          </w:p>
        </w:tc>
        <w:tc>
          <w:tcPr>
            <w:tcW w:type="dxa" w:w="1928"/>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スライド 37・⑤確認テスト</w:t>
            </w:r>
          </w:p>
        </w:tc>
      </w:tr>
    </w:tbl>
    <w:p>
      <w:pPr>
        <w:spacing w:after="60"/>
      </w:pPr>
    </w:p>
    <w:p>
      <w:pPr>
        <w:spacing w:after="80" w:before="0" w:line="254" w:lineRule="auto"/>
      </w:pPr>
      <w:r>
        <w:rPr>
          <w:rFonts w:ascii="Meiryo" w:hAnsi="Meiryo" w:eastAsia="Meiryo"/>
          <w:color w:val="263238"/>
          <w:sz w:val="21"/>
        </w:rPr>
        <w:t>管理職向けに拡張する場合は、ここに相談初動・合理的配慮フロー・ロールプレイを加えて70〜80分とします（⑦講師台本の拡張セクション参照）。</w:t>
      </w:r>
    </w:p>
    <w:p>
      <w:pPr>
        <w:keepNext/>
        <w:spacing w:before="160" w:after="60"/>
      </w:pPr>
      <w:r>
        <w:rPr>
          <w:rFonts w:ascii="Meiryo" w:hAnsi="Meiryo" w:eastAsia="Meiryo"/>
          <w:b/>
          <w:color w:val="16314F"/>
          <w:sz w:val="24"/>
        </w:rPr>
        <w:t>4-2　安全な場づくりの原則</w:t>
      </w:r>
    </w:p>
    <w:p>
      <w:pPr>
        <w:pStyle w:val="ListBullet"/>
        <w:spacing w:after="40" w:line="252" w:lineRule="auto"/>
      </w:pPr>
      <w:r>
        <w:rPr>
          <w:rFonts w:ascii="Meiryo" w:hAnsi="Meiryo" w:eastAsia="Meiryo"/>
          <w:color w:val="263238"/>
          <w:sz w:val="21"/>
        </w:rPr>
        <w:t>責める研修にしない。誰かを犯人探しする場ではなく、これからの言動を一緒に見直す場であることを最初に伝える。</w:t>
      </w:r>
    </w:p>
    <w:p>
      <w:pPr>
        <w:pStyle w:val="ListBullet"/>
        <w:spacing w:after="40" w:line="252" w:lineRule="auto"/>
      </w:pPr>
      <w:r>
        <w:rPr>
          <w:rFonts w:ascii="Meiryo" w:hAnsi="Meiryo" w:eastAsia="Meiryo"/>
          <w:color w:val="263238"/>
          <w:sz w:val="21"/>
        </w:rPr>
        <w:t>特定しない。実在の個人・部署を名指しして例にしない。受講者に自分や同僚の体験を無理に話させない。</w:t>
      </w:r>
    </w:p>
    <w:p>
      <w:pPr>
        <w:pStyle w:val="ListBullet"/>
        <w:spacing w:after="40" w:line="252" w:lineRule="auto"/>
      </w:pPr>
      <w:r>
        <w:rPr>
          <w:rFonts w:ascii="Meiryo" w:hAnsi="Meiryo" w:eastAsia="Meiryo"/>
          <w:color w:val="263238"/>
          <w:sz w:val="21"/>
        </w:rPr>
        <w:t>無理に話させない。挙手や指名で体験を語らせない。発言は任意であることを明示する。</w:t>
      </w:r>
    </w:p>
    <w:p>
      <w:pPr>
        <w:pStyle w:val="ListBullet"/>
        <w:spacing w:after="40" w:line="252" w:lineRule="auto"/>
      </w:pPr>
      <w:r>
        <w:rPr>
          <w:rFonts w:ascii="Meiryo" w:hAnsi="Meiryo" w:eastAsia="Meiryo"/>
          <w:color w:val="263238"/>
          <w:sz w:val="21"/>
        </w:rPr>
        <w:t>断定で終わらせない。「これは違法か」という問いには、義務・推奨・啓発を区別し、断定できないことは窓口・法務に確認するとして引き取る。</w:t>
      </w:r>
    </w:p>
    <w:p>
      <w:pPr>
        <w:keepNext/>
        <w:spacing w:before="160" w:after="60"/>
      </w:pPr>
      <w:r>
        <w:rPr>
          <w:rFonts w:ascii="Meiryo" w:hAnsi="Meiryo" w:eastAsia="Meiryo"/>
          <w:b/>
          <w:color w:val="16314F"/>
          <w:sz w:val="24"/>
        </w:rPr>
        <w:t>4-3　心理的負担・当事者への配慮</w:t>
      </w:r>
    </w:p>
    <w:p>
      <w:pPr>
        <w:spacing w:after="80" w:before="0" w:line="254" w:lineRule="auto"/>
      </w:pPr>
      <w:r>
        <w:rPr>
          <w:rFonts w:ascii="Meiryo" w:hAnsi="Meiryo" w:eastAsia="Meiryo"/>
          <w:color w:val="263238"/>
          <w:sz w:val="21"/>
        </w:rPr>
        <w:t>本研修は、国籍・障害・病歴・SOGI・出身地など、受講者自身が当事者であり得るセンシティブな属性を扱います。受講者の中に当事者がいる前提で進めてください。</w:t>
      </w:r>
    </w:p>
    <w:p>
      <w:pPr>
        <w:pStyle w:val="ListBullet"/>
        <w:spacing w:after="40" w:line="252" w:lineRule="auto"/>
      </w:pPr>
      <w:r>
        <w:rPr>
          <w:rFonts w:ascii="Meiryo" w:hAnsi="Meiryo" w:eastAsia="Meiryo"/>
          <w:color w:val="263238"/>
          <w:sz w:val="21"/>
        </w:rPr>
        <w:t>センシティブな話題に入る前に、「自分の体験を共有する必要はない」「つらいと感じたら無理をしなくてよい」と一言添える。</w:t>
      </w:r>
    </w:p>
    <w:p>
      <w:pPr>
        <w:pStyle w:val="ListBullet"/>
        <w:spacing w:after="40" w:line="252" w:lineRule="auto"/>
      </w:pPr>
      <w:r>
        <w:rPr>
          <w:rFonts w:ascii="Meiryo" w:hAnsi="Meiryo" w:eastAsia="Meiryo"/>
          <w:color w:val="263238"/>
          <w:sz w:val="21"/>
        </w:rPr>
        <w:t>事例は、生々しい描写や被害を矮小化する表現を避け、学びに必要な範囲にとどめる。</w:t>
      </w:r>
    </w:p>
    <w:p>
      <w:pPr>
        <w:pStyle w:val="ListBullet"/>
        <w:spacing w:after="40" w:line="252" w:lineRule="auto"/>
      </w:pPr>
      <w:r>
        <w:rPr>
          <w:rFonts w:ascii="Meiryo" w:hAnsi="Meiryo" w:eastAsia="Meiryo"/>
          <w:color w:val="263238"/>
          <w:sz w:val="21"/>
        </w:rPr>
        <w:t>アウティングを防ぐため、研修の場でも、誰かの属性（SOGI・病歴・出身等）を本人の同意なく話題にしない。グループ討議でも同様に注意喚起する。</w:t>
      </w:r>
    </w:p>
    <w:p>
      <w:pPr>
        <w:pStyle w:val="ListBullet"/>
        <w:spacing w:after="40" w:line="252" w:lineRule="auto"/>
      </w:pPr>
      <w:r>
        <w:rPr>
          <w:rFonts w:ascii="Meiryo" w:hAnsi="Meiryo" w:eastAsia="Meiryo"/>
          <w:color w:val="263238"/>
          <w:sz w:val="21"/>
        </w:rPr>
        <w:t>退席や休憩を取りやすい雰囲気をつくる。オンラインでもカメラオフや一時退席を許容する。</w:t>
      </w:r>
    </w:p>
    <w:tbl>
      <w:tblPr>
        <w:tblW w:type="auto" w:w="0"/>
        <w:tblLayout w:type="fixed"/>
        <w:tblLook w:firstColumn="1" w:firstRow="1" w:lastColumn="0" w:lastRow="0" w:noHBand="0" w:noVBand="1" w:val="04A0"/>
      </w:tblPr>
      <w:tblGrid>
        <w:gridCol w:w="9638"/>
      </w:tblGrid>
      <w:tr>
        <w:tc>
          <w:tcPr>
            <w:tcW w:type="dxa" w:w="9638"/>
            <w:shd w:val="clear" w:color="auto" w:fill="E9F1EC"/>
            <w:tcMar>
              <w:top w:w="90" w:type="dxa"/>
              <w:left w:w="140" w:type="dxa"/>
              <w:bottom w:w="90" w:type="dxa"/>
              <w:right w:w="140" w:type="dxa"/>
            </w:tcMar>
          </w:tcPr>
          <w:p>
            <w:pPr>
              <w:spacing w:after="0" w:line="252" w:lineRule="auto"/>
            </w:pPr>
            <w:r>
              <w:rPr>
                <w:rFonts w:ascii="Meiryo" w:hAnsi="Meiryo" w:eastAsia="Meiryo"/>
                <w:b/>
                <w:color w:val="2F6B4F"/>
                <w:sz w:val="20"/>
              </w:rPr>
              <w:t xml:space="preserve">配慮は特別扱いではない　</w:t>
            </w:r>
            <w:r>
              <w:rPr>
                <w:rFonts w:ascii="Meiryo" w:hAnsi="Meiryo" w:eastAsia="Meiryo"/>
                <w:color w:val="4A4A4A"/>
                <w:sz w:val="19"/>
              </w:rPr>
              <w:t>心理的負担への配慮は、特定の人を甘やかすことではなく、誰もが安全に学べる場にするための調整です。受講者にもこの考え方（配慮＝機会を平等にするための調整）を伝えると、合理的配慮の理解にもつながります。</w:t>
            </w:r>
          </w:p>
        </w:tc>
      </w:tr>
    </w:tbl>
    <w:p>
      <w:pPr>
        <w:spacing w:after="80"/>
      </w:pPr>
    </w:p>
    <w:p>
      <w:r>
        <w:br w:type="page"/>
      </w:r>
    </w:p>
    <w:p>
      <w:pPr>
        <w:keepNext/>
        <w:pBdr>
          <w:bottom w:val="single" w:sz="10" w:space="6" w:color="B58A3A"/>
        </w:pBdr>
        <w:spacing w:before="240" w:after="120"/>
      </w:pPr>
      <w:r>
        <w:rPr>
          <w:rFonts w:ascii="Meiryo" w:hAnsi="Meiryo" w:eastAsia="Meiryo"/>
          <w:b/>
          <w:color w:val="16314F"/>
          <w:sz w:val="30"/>
        </w:rPr>
        <w:t>第5部　研修中・研修後に相談や申告が出た場合の対応</w:t>
      </w:r>
    </w:p>
    <w:p>
      <w:pPr>
        <w:spacing w:after="80" w:before="0" w:line="254" w:lineRule="auto"/>
      </w:pPr>
      <w:r>
        <w:rPr>
          <w:rFonts w:ascii="Meiryo" w:hAnsi="Meiryo" w:eastAsia="Meiryo"/>
          <w:color w:val="263238"/>
          <w:sz w:val="21"/>
        </w:rPr>
        <w:t>研修をきっかけに、過去・現在の出来事について相談や申告が出ることがあります。研修担当者・講師は、その場で評価や事実認定をするのではなく、適切に受け止めて窓口につなぐことが役割です。</w:t>
      </w:r>
    </w:p>
    <w:p>
      <w:pPr>
        <w:keepNext/>
        <w:spacing w:before="160" w:after="60"/>
      </w:pPr>
      <w:r>
        <w:rPr>
          <w:rFonts w:ascii="Meiryo" w:hAnsi="Meiryo" w:eastAsia="Meiryo"/>
          <w:b/>
          <w:color w:val="16314F"/>
          <w:sz w:val="24"/>
        </w:rPr>
        <w:t>5-1　その場で相談が出たときの初動</w:t>
      </w:r>
    </w:p>
    <w:p>
      <w:pPr>
        <w:pStyle w:val="ListBullet"/>
        <w:spacing w:after="40" w:line="252" w:lineRule="auto"/>
      </w:pPr>
      <w:r>
        <w:rPr>
          <w:rFonts w:ascii="Meiryo" w:hAnsi="Meiryo" w:eastAsia="Meiryo"/>
          <w:color w:val="263238"/>
          <w:sz w:val="21"/>
        </w:rPr>
        <w:t>まず傾聴する。話を否定したり、その場で「それは問題ない／問題だ」と結論づけたりしない。</w:t>
      </w:r>
    </w:p>
    <w:p>
      <w:pPr>
        <w:pStyle w:val="ListBullet"/>
        <w:spacing w:after="40" w:line="252" w:lineRule="auto"/>
      </w:pPr>
      <w:r>
        <w:rPr>
          <w:rFonts w:ascii="Meiryo" w:hAnsi="Meiryo" w:eastAsia="Meiryo"/>
          <w:color w:val="263238"/>
          <w:sz w:val="21"/>
        </w:rPr>
        <w:t>事実・伝聞・推測を区別してメモする。日時・場所・関係者・発言内容など、わかる範囲で記録する。</w:t>
      </w:r>
    </w:p>
    <w:p>
      <w:pPr>
        <w:pStyle w:val="ListBullet"/>
        <w:spacing w:after="40" w:line="252" w:lineRule="auto"/>
      </w:pPr>
      <w:r>
        <w:rPr>
          <w:rFonts w:ascii="Meiryo" w:hAnsi="Meiryo" w:eastAsia="Meiryo"/>
          <w:color w:val="263238"/>
          <w:sz w:val="21"/>
        </w:rPr>
        <w:t>本人の同意を得たうえで、自社の相談窓口・人事・産業保健など適切な窓口につなぐ。</w:t>
      </w:r>
    </w:p>
    <w:p>
      <w:pPr>
        <w:pStyle w:val="ListBullet"/>
        <w:spacing w:after="40" w:line="252" w:lineRule="auto"/>
      </w:pPr>
      <w:r>
        <w:rPr>
          <w:rFonts w:ascii="Meiryo" w:hAnsi="Meiryo" w:eastAsia="Meiryo"/>
          <w:color w:val="263238"/>
          <w:sz w:val="21"/>
        </w:rPr>
        <w:t>相談者・対象者の機微情報（属性・病歴等）を、必要のない範囲に広げない。研修の場で他の受講者に共有しない。</w:t>
      </w:r>
    </w:p>
    <w:tbl>
      <w:tblPr>
        <w:tblW w:type="auto" w:w="0"/>
        <w:tblLayout w:type="fixed"/>
        <w:tblLook w:firstColumn="1" w:firstRow="1" w:lastColumn="0" w:lastRow="0" w:noHBand="0" w:noVBand="1" w:val="04A0"/>
      </w:tblPr>
      <w:tblGrid>
        <w:gridCol w:w="9638"/>
      </w:tblGrid>
      <w:tr>
        <w:tc>
          <w:tcPr>
            <w:tcW w:type="dxa" w:w="9638"/>
            <w:shd w:val="clear" w:color="auto" w:fill="F4EEE1"/>
            <w:tcMar>
              <w:top w:w="90" w:type="dxa"/>
              <w:left w:w="140" w:type="dxa"/>
              <w:bottom w:w="90" w:type="dxa"/>
              <w:right w:w="140" w:type="dxa"/>
            </w:tcMar>
          </w:tcPr>
          <w:p>
            <w:pPr>
              <w:spacing w:after="0" w:line="252" w:lineRule="auto"/>
            </w:pPr>
            <w:r>
              <w:rPr>
                <w:rFonts w:ascii="Meiryo" w:hAnsi="Meiryo" w:eastAsia="Meiryo"/>
                <w:b/>
                <w:color w:val="B58A3A"/>
                <w:sz w:val="20"/>
              </w:rPr>
              <w:t xml:space="preserve">確実性の保証はしない　</w:t>
            </w:r>
            <w:r>
              <w:rPr>
                <w:rFonts w:ascii="Meiryo" w:hAnsi="Meiryo" w:eastAsia="Meiryo"/>
                <w:color w:val="4A4A4A"/>
                <w:sz w:val="19"/>
              </w:rPr>
              <w:t>窓口の秘密保持や、その後の手続・関与の範囲について、断定的な保証はしないでください。会社の制度や状況によって取扱いは異なります。相談者には、窓口につなぐこと・本人の意向を尊重することを伝えつつ、結果を約束しないようにします。</w:t>
            </w:r>
          </w:p>
        </w:tc>
      </w:tr>
    </w:tbl>
    <w:p>
      <w:pPr>
        <w:spacing w:after="80"/>
      </w:pPr>
    </w:p>
    <w:p>
      <w:pPr>
        <w:keepNext/>
        <w:spacing w:before="160" w:after="60"/>
      </w:pPr>
      <w:r>
        <w:rPr>
          <w:rFonts w:ascii="Meiryo" w:hAnsi="Meiryo" w:eastAsia="Meiryo"/>
          <w:b/>
          <w:color w:val="16314F"/>
          <w:sz w:val="24"/>
        </w:rPr>
        <w:t>5-2　研修後にアンケート等で相談・通報が出た場合</w:t>
      </w:r>
    </w:p>
    <w:p>
      <w:pPr>
        <w:pStyle w:val="ListBullet"/>
        <w:spacing w:after="40" w:line="252" w:lineRule="auto"/>
      </w:pPr>
      <w:r>
        <w:rPr>
          <w:rFonts w:ascii="Meiryo" w:hAnsi="Meiryo" w:eastAsia="Meiryo"/>
          <w:color w:val="263238"/>
          <w:sz w:val="21"/>
        </w:rPr>
        <w:t>アンケートに深刻な相談や通報が書かれていた場合は、放置せず、あらかじめ決めた担当（人事・法務等）へ速やかに共有する。</w:t>
      </w:r>
    </w:p>
    <w:p>
      <w:pPr>
        <w:pStyle w:val="ListBullet"/>
        <w:spacing w:after="40" w:line="252" w:lineRule="auto"/>
      </w:pPr>
      <w:r>
        <w:rPr>
          <w:rFonts w:ascii="Meiryo" w:hAnsi="Meiryo" w:eastAsia="Meiryo"/>
          <w:color w:val="263238"/>
          <w:sz w:val="21"/>
        </w:rPr>
        <w:t>匿名アンケートでも、緊急性が高い内容（安全に関わる内容など）が含まれる場合の取扱いを事前に決めておく。</w:t>
      </w:r>
    </w:p>
    <w:p>
      <w:pPr>
        <w:pStyle w:val="ListBullet"/>
        <w:spacing w:after="40" w:line="252" w:lineRule="auto"/>
      </w:pPr>
      <w:r>
        <w:rPr>
          <w:rFonts w:ascii="Meiryo" w:hAnsi="Meiryo" w:eastAsia="Meiryo"/>
          <w:color w:val="263238"/>
          <w:sz w:val="21"/>
        </w:rPr>
        <w:t>アンケート結果は要配慮個人情報を含み得るため、保管・共有の範囲を限定する。</w:t>
      </w:r>
    </w:p>
    <w:p>
      <w:pPr>
        <w:keepNext/>
        <w:spacing w:before="160" w:after="60"/>
      </w:pPr>
      <w:r>
        <w:rPr>
          <w:rFonts w:ascii="Meiryo" w:hAnsi="Meiryo" w:eastAsia="Meiryo"/>
          <w:b/>
          <w:color w:val="16314F"/>
          <w:sz w:val="24"/>
        </w:rPr>
        <w:t>5-3　してはいけない対応</w:t>
      </w:r>
    </w:p>
    <w:p>
      <w:pPr>
        <w:pStyle w:val="ListBullet"/>
        <w:spacing w:after="40" w:line="252" w:lineRule="auto"/>
      </w:pPr>
      <w:r>
        <w:rPr>
          <w:rFonts w:ascii="Meiryo" w:hAnsi="Meiryo" w:eastAsia="Meiryo"/>
          <w:color w:val="B42318"/>
          <w:sz w:val="21"/>
        </w:rPr>
        <w:t>相談者の主張だけで、対象者を処分・断罪しない。</w:t>
      </w:r>
    </w:p>
    <w:p>
      <w:pPr>
        <w:pStyle w:val="ListBullet"/>
        <w:spacing w:after="40" w:line="252" w:lineRule="auto"/>
      </w:pPr>
      <w:r>
        <w:rPr>
          <w:rFonts w:ascii="Meiryo" w:hAnsi="Meiryo" w:eastAsia="Meiryo"/>
          <w:color w:val="B42318"/>
          <w:sz w:val="21"/>
        </w:rPr>
        <w:t>対象とされた側の否認だけで、相談をなかったことにしない。</w:t>
      </w:r>
    </w:p>
    <w:p>
      <w:pPr>
        <w:pStyle w:val="ListBullet"/>
        <w:spacing w:after="40" w:line="252" w:lineRule="auto"/>
      </w:pPr>
      <w:r>
        <w:rPr>
          <w:rFonts w:ascii="Meiryo" w:hAnsi="Meiryo" w:eastAsia="Meiryo"/>
          <w:color w:val="B42318"/>
          <w:sz w:val="21"/>
        </w:rPr>
        <w:t>現場の一担当者・一受講者が、独断で本格的な調査を始めない。窓口・人事につなぐ。</w:t>
      </w:r>
    </w:p>
    <w:p>
      <w:pPr>
        <w:pStyle w:val="ListBullet"/>
        <w:spacing w:after="40" w:line="252" w:lineRule="auto"/>
      </w:pPr>
      <w:r>
        <w:rPr>
          <w:rFonts w:ascii="Meiryo" w:hAnsi="Meiryo" w:eastAsia="Meiryo"/>
          <w:color w:val="B42318"/>
          <w:sz w:val="21"/>
        </w:rPr>
        <w:t>「無理だろう」といった能力・医学的な判断を、現場で勝手に下さない（合理的配慮は本人と確認し、必要に応じて産業保健・人事へ）。</w:t>
      </w:r>
    </w:p>
    <w:p>
      <w:pPr>
        <w:keepNext/>
        <w:spacing w:before="160" w:after="60"/>
      </w:pPr>
      <w:r>
        <w:rPr>
          <w:rFonts w:ascii="Meiryo" w:hAnsi="Meiryo" w:eastAsia="Meiryo"/>
          <w:b/>
          <w:color w:val="16314F"/>
          <w:sz w:val="24"/>
        </w:rPr>
        <w:t>5-4　エスカレーション基準の目安</w:t>
      </w:r>
    </w:p>
    <w:tbl>
      <w:tblPr>
        <w:tblW w:type="auto" w:w="0"/>
        <w:jc w:val="center"/>
        <w:tblLayout w:type="fixed"/>
        <w:tblLook w:firstColumn="1" w:firstRow="1" w:lastColumn="0" w:lastRow="0" w:noHBand="0" w:noVBand="1" w:val="04A0"/>
      </w:tblPr>
      <w:tblGrid>
        <w:gridCol w:w="3969"/>
        <w:gridCol w:w="5669"/>
      </w:tblGrid>
      <w:tr>
        <w:tc>
          <w:tcPr>
            <w:tcW w:type="dxa" w:w="3969"/>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状況</w:t>
            </w:r>
          </w:p>
        </w:tc>
        <w:tc>
          <w:tcPr>
            <w:tcW w:type="dxa" w:w="5669"/>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つなぐ先（自社の窓口名に置き換え）</w:t>
            </w:r>
          </w:p>
        </w:tc>
      </w:tr>
      <w:tr>
        <w:tc>
          <w:tcPr>
            <w:tcW w:type="dxa" w:w="396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軽微で、その場の声かけ・注意で足りる言動</w:t>
            </w:r>
          </w:p>
        </w:tc>
        <w:tc>
          <w:tcPr>
            <w:tcW w:type="dxa" w:w="566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上長・現場で対応しつつ、必要に応じて窓口に共有</w:t>
            </w:r>
          </w:p>
        </w:tc>
      </w:tr>
      <w:tr>
        <w:tc>
          <w:tcPr>
            <w:tcW w:type="dxa" w:w="3969"/>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継続している・繰り返されている言動</w:t>
            </w:r>
          </w:p>
        </w:tc>
        <w:tc>
          <w:tcPr>
            <w:tcW w:type="dxa" w:w="5669"/>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相談窓口・人事へ</w:t>
            </w:r>
          </w:p>
        </w:tc>
      </w:tr>
      <w:tr>
        <w:tc>
          <w:tcPr>
            <w:tcW w:type="dxa" w:w="396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合理的配慮・勤務配慮・健康に関わる申出</w:t>
            </w:r>
          </w:p>
        </w:tc>
        <w:tc>
          <w:tcPr>
            <w:tcW w:type="dxa" w:w="566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人事・産業保健へ</w:t>
            </w:r>
          </w:p>
        </w:tc>
      </w:tr>
      <w:tr>
        <w:tc>
          <w:tcPr>
            <w:tcW w:type="dxa" w:w="3969"/>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機微情報の無断共有・個人情報の取扱いに関わる事案</w:t>
            </w:r>
          </w:p>
        </w:tc>
        <w:tc>
          <w:tcPr>
            <w:tcW w:type="dxa" w:w="5669"/>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人事・法務・個人情報の管理部門へ</w:t>
            </w:r>
          </w:p>
        </w:tc>
      </w:tr>
      <w:tr>
        <w:tc>
          <w:tcPr>
            <w:tcW w:type="dxa" w:w="396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差別・人権侵害として深刻な事案、法的対応が想定される事案</w:t>
            </w:r>
          </w:p>
        </w:tc>
        <w:tc>
          <w:tcPr>
            <w:tcW w:type="dxa" w:w="5669"/>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8"/>
              </w:rPr>
              <w:t>法務・正式な相談窓口へ</w:t>
            </w:r>
          </w:p>
        </w:tc>
      </w:tr>
    </w:tbl>
    <w:p>
      <w:pPr>
        <w:spacing w:after="60"/>
      </w:pPr>
    </w:p>
    <w:tbl>
      <w:tblPr>
        <w:tblW w:type="auto" w:w="0"/>
        <w:tblLayout w:type="fixed"/>
        <w:tblLook w:firstColumn="1" w:firstRow="1" w:lastColumn="0" w:lastRow="0" w:noHBand="0" w:noVBand="1" w:val="04A0"/>
      </w:tblPr>
      <w:tblGrid>
        <w:gridCol w:w="9638"/>
      </w:tblGrid>
      <w:tr>
        <w:tc>
          <w:tcPr>
            <w:tcW w:type="dxa" w:w="9638"/>
            <w:shd w:val="clear" w:color="auto" w:fill="FBECEA"/>
            <w:tcMar>
              <w:top w:w="90" w:type="dxa"/>
              <w:left w:w="140" w:type="dxa"/>
              <w:bottom w:w="90" w:type="dxa"/>
              <w:right w:w="140" w:type="dxa"/>
            </w:tcMar>
          </w:tcPr>
          <w:p>
            <w:pPr>
              <w:spacing w:after="0" w:line="252" w:lineRule="auto"/>
            </w:pPr>
            <w:r>
              <w:rPr>
                <w:rFonts w:ascii="Meiryo" w:hAnsi="Meiryo" w:eastAsia="Meiryo"/>
                <w:b/>
                <w:color w:val="B42318"/>
                <w:sz w:val="20"/>
              </w:rPr>
              <w:t xml:space="preserve">安全が最優先される場合　</w:t>
            </w:r>
            <w:r>
              <w:rPr>
                <w:rFonts w:ascii="Meiryo" w:hAnsi="Meiryo" w:eastAsia="Meiryo"/>
                <w:color w:val="4A4A4A"/>
                <w:sz w:val="19"/>
              </w:rPr>
              <w:t>本人や周囲の安全に関わる差し迫った懸念があると感じた場合は、研修の進行よりも安全の確保を優先し、自社の緊急時対応の手順に従って、速やかに人事・産業保健などの適切な専門の窓口につないでください。研修担当者が一人で判断・対応を抱え込まないようにします。</w:t>
            </w:r>
          </w:p>
        </w:tc>
      </w:tr>
    </w:tbl>
    <w:p>
      <w:pPr>
        <w:spacing w:after="80"/>
      </w:pPr>
    </w:p>
    <w:p>
      <w:r>
        <w:br w:type="page"/>
      </w:r>
    </w:p>
    <w:p>
      <w:pPr>
        <w:keepNext/>
        <w:pBdr>
          <w:bottom w:val="single" w:sz="10" w:space="6" w:color="B58A3A"/>
        </w:pBdr>
        <w:spacing w:before="240" w:after="120"/>
      </w:pPr>
      <w:r>
        <w:rPr>
          <w:rFonts w:ascii="Meiryo" w:hAnsi="Meiryo" w:eastAsia="Meiryo"/>
          <w:b/>
          <w:color w:val="16314F"/>
          <w:sz w:val="30"/>
        </w:rPr>
        <w:t>第6部　効果測定とフォローアップ</w:t>
      </w:r>
    </w:p>
    <w:p>
      <w:pPr>
        <w:keepNext/>
        <w:spacing w:before="160" w:after="60"/>
      </w:pPr>
      <w:r>
        <w:rPr>
          <w:rFonts w:ascii="Meiryo" w:hAnsi="Meiryo" w:eastAsia="Meiryo"/>
          <w:b/>
          <w:color w:val="16314F"/>
          <w:sz w:val="24"/>
        </w:rPr>
        <w:t>6-1　確認テストの採点・活用</w:t>
      </w:r>
    </w:p>
    <w:p>
      <w:pPr>
        <w:pStyle w:val="ListBullet"/>
        <w:spacing w:after="40" w:line="252" w:lineRule="auto"/>
      </w:pPr>
      <w:r>
        <w:rPr>
          <w:rFonts w:ascii="Meiryo" w:hAnsi="Meiryo" w:eastAsia="Meiryo"/>
          <w:color w:val="263238"/>
          <w:sz w:val="21"/>
        </w:rPr>
        <w:t>確認テスト（⑤）は全12問。⑥解答・解説ガイドの評価ポイントに沿って採点する。ケース判断は唯一の正解を当てる形式ではなく、問題点の把握・言い換え・対応・相談先を評価する。</w:t>
      </w:r>
    </w:p>
    <w:p>
      <w:pPr>
        <w:pStyle w:val="ListBullet"/>
        <w:spacing w:after="40" w:line="252" w:lineRule="auto"/>
      </w:pPr>
      <w:r>
        <w:rPr>
          <w:rFonts w:ascii="Meiryo" w:hAnsi="Meiryo" w:eastAsia="Meiryo"/>
          <w:color w:val="263238"/>
          <w:sz w:val="21"/>
        </w:rPr>
        <w:t>点数だけでなく、誤答や自由記述に表れた誤解（例：本人が笑っていれば問題ない、業務に必要なくても私的な詮索をしてよい等）を拾い、次回の重点に反映する。</w:t>
      </w:r>
    </w:p>
    <w:p>
      <w:pPr>
        <w:keepNext/>
        <w:spacing w:before="160" w:after="60"/>
      </w:pPr>
      <w:r>
        <w:rPr>
          <w:rFonts w:ascii="Meiryo" w:hAnsi="Meiryo" w:eastAsia="Meiryo"/>
          <w:b/>
          <w:color w:val="16314F"/>
          <w:sz w:val="24"/>
        </w:rPr>
        <w:t>6-2　アンケート設計のポイント</w:t>
      </w:r>
    </w:p>
    <w:p>
      <w:pPr>
        <w:pStyle w:val="ListBullet"/>
        <w:spacing w:after="40" w:line="252" w:lineRule="auto"/>
      </w:pPr>
      <w:r>
        <w:rPr>
          <w:rFonts w:ascii="Meiryo" w:hAnsi="Meiryo" w:eastAsia="Meiryo"/>
          <w:color w:val="263238"/>
          <w:sz w:val="21"/>
        </w:rPr>
        <w:t>理解度（わかりにくかった点）、行動変容（明日から変えたいこと）、相談したいこと（窓口への導線）を分けて尋ねる。</w:t>
      </w:r>
    </w:p>
    <w:p>
      <w:pPr>
        <w:pStyle w:val="ListBullet"/>
        <w:spacing w:after="40" w:line="252" w:lineRule="auto"/>
      </w:pPr>
      <w:r>
        <w:rPr>
          <w:rFonts w:ascii="Meiryo" w:hAnsi="Meiryo" w:eastAsia="Meiryo"/>
          <w:color w:val="263238"/>
          <w:sz w:val="21"/>
        </w:rPr>
        <w:t>自由記述には機微な内容が書かれ得るため、保管・共有の範囲を明示し、限定して取り扱う。</w:t>
      </w:r>
    </w:p>
    <w:p>
      <w:pPr>
        <w:keepNext/>
        <w:spacing w:before="160" w:after="60"/>
      </w:pPr>
      <w:r>
        <w:rPr>
          <w:rFonts w:ascii="Meiryo" w:hAnsi="Meiryo" w:eastAsia="Meiryo"/>
          <w:b/>
          <w:color w:val="16314F"/>
          <w:sz w:val="24"/>
        </w:rPr>
        <w:t>6-3　フォローアップ</w:t>
      </w:r>
    </w:p>
    <w:p>
      <w:pPr>
        <w:pStyle w:val="ListBullet"/>
        <w:spacing w:after="40" w:line="252" w:lineRule="auto"/>
      </w:pPr>
      <w:r>
        <w:rPr>
          <w:rFonts w:ascii="Meiryo" w:hAnsi="Meiryo" w:eastAsia="Meiryo"/>
          <w:color w:val="263238"/>
          <w:sz w:val="21"/>
        </w:rPr>
        <w:t>研修後一定期間（例：数週間後）に、ツールキットの「発言前10秒チェック」を朝礼・チーム会議などで振り返ると定着しやすい。</w:t>
      </w:r>
    </w:p>
    <w:p>
      <w:pPr>
        <w:pStyle w:val="ListBullet"/>
        <w:spacing w:after="40" w:line="252" w:lineRule="auto"/>
      </w:pPr>
      <w:r>
        <w:rPr>
          <w:rFonts w:ascii="Meiryo" w:hAnsi="Meiryo" w:eastAsia="Meiryo"/>
          <w:color w:val="263238"/>
          <w:sz w:val="21"/>
        </w:rPr>
        <w:t>管理職には、⑨管理職ノートを使った日常のフォロー（注意の仕方・相談初動）を促す。</w:t>
      </w:r>
    </w:p>
    <w:p>
      <w:pPr>
        <w:pStyle w:val="ListBullet"/>
        <w:spacing w:after="40" w:line="252" w:lineRule="auto"/>
      </w:pPr>
      <w:r>
        <w:rPr>
          <w:rFonts w:ascii="Meiryo" w:hAnsi="Meiryo" w:eastAsia="Meiryo"/>
          <w:color w:val="263238"/>
          <w:sz w:val="21"/>
        </w:rPr>
        <w:t>記録（受講記録・テスト・アンケート）は、目的の範囲で保管し、個人情報として適切に管理する。</w:t>
      </w:r>
    </w:p>
    <w:p>
      <w:r>
        <w:br w:type="page"/>
      </w:r>
    </w:p>
    <w:p>
      <w:pPr>
        <w:keepNext/>
        <w:pBdr>
          <w:bottom w:val="single" w:sz="10" w:space="6" w:color="B58A3A"/>
        </w:pBdr>
        <w:spacing w:before="240" w:after="120"/>
      </w:pPr>
      <w:r>
        <w:rPr>
          <w:rFonts w:ascii="Meiryo" w:hAnsi="Meiryo" w:eastAsia="Meiryo"/>
          <w:b/>
          <w:color w:val="16314F"/>
          <w:sz w:val="30"/>
        </w:rPr>
        <w:t>第7部　版管理・更新運用</w:t>
      </w:r>
    </w:p>
    <w:p>
      <w:pPr>
        <w:keepNext/>
        <w:spacing w:before="160" w:after="60"/>
      </w:pPr>
      <w:r>
        <w:rPr>
          <w:rFonts w:ascii="Meiryo" w:hAnsi="Meiryo" w:eastAsia="Meiryo"/>
          <w:b/>
          <w:color w:val="16314F"/>
          <w:sz w:val="24"/>
        </w:rPr>
        <w:t>7-1　基準日と今後の法改正の反映</w:t>
      </w:r>
    </w:p>
    <w:p>
      <w:pPr>
        <w:spacing w:after="80" w:before="0" w:line="254" w:lineRule="auto"/>
      </w:pPr>
      <w:r>
        <w:rPr>
          <w:rFonts w:ascii="Meiryo" w:hAnsi="Meiryo" w:eastAsia="Meiryo"/>
          <w:color w:val="263238"/>
          <w:sz w:val="21"/>
        </w:rPr>
        <w:t>本資料の法令・制度基準日は2026年6月18日です。研修は法改正の影響を受けるため、実施のたびに最新情報を確認し、必要に応じて資料を更新してください。特に次の点に留意します。</w:t>
      </w:r>
    </w:p>
    <w:p>
      <w:pPr>
        <w:pStyle w:val="ListBullet"/>
        <w:spacing w:after="40" w:line="252" w:lineRule="auto"/>
      </w:pPr>
      <w:r>
        <w:rPr>
          <w:rFonts w:ascii="Meiryo" w:hAnsi="Meiryo" w:eastAsia="Meiryo"/>
          <w:color w:val="263238"/>
          <w:sz w:val="21"/>
        </w:rPr>
        <w:t>2026年10月1日施行予定の改正（カスタマーハラスメント防止措置義務化、就職活動中の学生等に対するセクシュアルハラスメント防止措置義務化）など、施行時期が将来の改正は、実施日が施行日以降であれば反映する。本回（人権）では深入りせず、第6・7回の領域と整理する。</w:t>
      </w:r>
    </w:p>
    <w:p>
      <w:pPr>
        <w:pStyle w:val="ListBullet"/>
        <w:spacing w:after="40" w:line="252" w:lineRule="auto"/>
      </w:pPr>
      <w:r>
        <w:rPr>
          <w:rFonts w:ascii="Meiryo" w:hAnsi="Meiryo" w:eastAsia="Meiryo"/>
          <w:color w:val="263238"/>
          <w:sz w:val="21"/>
        </w:rPr>
        <w:t>障害者の法定雇用率の段階的引上げなど、数値・制度が変わり得る事項は、実施日時点の最新値に更新する。</w:t>
      </w:r>
    </w:p>
    <w:p>
      <w:pPr>
        <w:pStyle w:val="ListBullet"/>
        <w:spacing w:after="40" w:line="252" w:lineRule="auto"/>
      </w:pPr>
      <w:r>
        <w:rPr>
          <w:rFonts w:ascii="Meiryo" w:hAnsi="Meiryo" w:eastAsia="Meiryo"/>
          <w:color w:val="263238"/>
          <w:sz w:val="21"/>
        </w:rPr>
        <w:t>自社規程・窓口・生成AI利用ルールの改定があれば、該当箇所を差し替える。</w:t>
      </w:r>
    </w:p>
    <w:tbl>
      <w:tblPr>
        <w:tblW w:type="auto" w:w="0"/>
        <w:tblLayout w:type="fixed"/>
        <w:tblLook w:firstColumn="1" w:firstRow="1" w:lastColumn="0" w:lastRow="0" w:noHBand="0" w:noVBand="1" w:val="04A0"/>
      </w:tblPr>
      <w:tblGrid>
        <w:gridCol w:w="9638"/>
      </w:tblGrid>
      <w:tr>
        <w:tc>
          <w:tcPr>
            <w:tcW w:type="dxa" w:w="9638"/>
            <w:shd w:val="clear" w:color="auto" w:fill="F4EEE1"/>
            <w:tcMar>
              <w:top w:w="90" w:type="dxa"/>
              <w:left w:w="140" w:type="dxa"/>
              <w:bottom w:w="90" w:type="dxa"/>
              <w:right w:w="140" w:type="dxa"/>
            </w:tcMar>
          </w:tcPr>
          <w:p>
            <w:pPr>
              <w:spacing w:after="0" w:line="252" w:lineRule="auto"/>
            </w:pPr>
            <w:r>
              <w:rPr>
                <w:rFonts w:ascii="Meiryo" w:hAnsi="Meiryo" w:eastAsia="Meiryo"/>
                <w:b/>
                <w:color w:val="B58A3A"/>
                <w:sz w:val="20"/>
              </w:rPr>
              <w:t xml:space="preserve">更新の進め方　</w:t>
            </w:r>
            <w:r>
              <w:rPr>
                <w:rFonts w:ascii="Meiryo" w:hAnsi="Meiryo" w:eastAsia="Meiryo"/>
                <w:color w:val="4A4A4A"/>
                <w:sz w:val="19"/>
              </w:rPr>
              <w:t>法令・指針は一次情報（官公庁の公表資料・条文）で確認してから反映してください。資料中で「義務」「推奨」「啓発」と区別している箇所は、改正で区分が変わることがあるため、更新時に区分も見直します。</w:t>
            </w:r>
          </w:p>
        </w:tc>
      </w:tr>
    </w:tbl>
    <w:p>
      <w:pPr>
        <w:spacing w:after="80"/>
      </w:pPr>
    </w:p>
    <w:p>
      <w:pPr>
        <w:keepNext/>
        <w:spacing w:before="160" w:after="60"/>
      </w:pPr>
      <w:r>
        <w:rPr>
          <w:rFonts w:ascii="Meiryo" w:hAnsi="Meiryo" w:eastAsia="Meiryo"/>
          <w:b/>
          <w:color w:val="16314F"/>
          <w:sz w:val="24"/>
        </w:rPr>
        <w:t>7-2　版管理表（記入式）</w:t>
      </w:r>
    </w:p>
    <w:p>
      <w:pPr>
        <w:spacing w:after="80" w:before="0" w:line="254" w:lineRule="auto"/>
      </w:pPr>
      <w:r>
        <w:rPr>
          <w:rFonts w:ascii="Meiryo" w:hAnsi="Meiryo" w:eastAsia="Meiryo"/>
          <w:color w:val="263238"/>
          <w:sz w:val="21"/>
        </w:rPr>
        <w:t>改訂のたびに、版・日付・改訂内容・確認者を記録してください。</w:t>
      </w:r>
    </w:p>
    <w:tbl>
      <w:tblPr>
        <w:tblW w:type="auto" w:w="0"/>
        <w:jc w:val="center"/>
        <w:tblLayout w:type="fixed"/>
        <w:tblLook w:firstColumn="1" w:firstRow="1" w:lastColumn="0" w:lastRow="0" w:noHBand="0" w:noVBand="1" w:val="04A0"/>
      </w:tblPr>
      <w:tblGrid>
        <w:gridCol w:w="4819"/>
        <w:gridCol w:w="4819"/>
      </w:tblGrid>
      <w:tr>
        <w:tc>
          <w:tcPr>
            <w:tcW w:type="dxa" w:w="283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版（例：第1.0版）</w:t>
            </w:r>
          </w:p>
        </w:tc>
        <w:tc>
          <w:tcPr>
            <w:tcW w:type="dxa" w:w="680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 xml:space="preserve">　　　　　　　日付：　　　年　　月　　日</w:t>
            </w:r>
          </w:p>
        </w:tc>
      </w:tr>
      <w:tr>
        <w:tc>
          <w:tcPr>
            <w:tcW w:type="dxa" w:w="283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主な改訂内容</w:t>
            </w:r>
          </w:p>
        </w:tc>
        <w:tc>
          <w:tcPr>
            <w:tcW w:type="dxa" w:w="680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p>
          <w:p>
            <w:pPr>
              <w:spacing w:after="0"/>
            </w:pPr>
          </w:p>
        </w:tc>
      </w:tr>
      <w:tr>
        <w:tc>
          <w:tcPr>
            <w:tcW w:type="dxa" w:w="283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確認・承認者</w:t>
            </w:r>
          </w:p>
        </w:tc>
        <w:tc>
          <w:tcPr>
            <w:tcW w:type="dxa" w:w="680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p>
        </w:tc>
      </w:tr>
      <w:tr>
        <w:tc>
          <w:tcPr>
            <w:tcW w:type="dxa" w:w="2835"/>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次回見直しの目安</w:t>
            </w:r>
          </w:p>
        </w:tc>
        <w:tc>
          <w:tcPr>
            <w:tcW w:type="dxa" w:w="6803"/>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例：法改正時／年1回</w:t>
            </w:r>
          </w:p>
        </w:tc>
      </w:tr>
    </w:tbl>
    <w:p>
      <w:pPr>
        <w:keepNext/>
        <w:spacing w:before="160" w:after="60"/>
      </w:pPr>
      <w:r>
        <w:rPr>
          <w:rFonts w:ascii="Meiryo" w:hAnsi="Meiryo" w:eastAsia="Meiryo"/>
          <w:b/>
          <w:color w:val="16314F"/>
          <w:sz w:val="24"/>
        </w:rPr>
        <w:t>7-3　次回更新の目安</w:t>
      </w:r>
    </w:p>
    <w:p>
      <w:pPr>
        <w:pStyle w:val="ListBullet"/>
        <w:spacing w:after="40" w:line="252" w:lineRule="auto"/>
      </w:pPr>
      <w:r>
        <w:rPr>
          <w:rFonts w:ascii="Meiryo" w:hAnsi="Meiryo" w:eastAsia="Meiryo"/>
          <w:color w:val="263238"/>
          <w:sz w:val="21"/>
        </w:rPr>
        <w:t>関係する法令・指針の改正があったとき。</w:t>
      </w:r>
    </w:p>
    <w:p>
      <w:pPr>
        <w:pStyle w:val="ListBullet"/>
        <w:spacing w:after="40" w:line="252" w:lineRule="auto"/>
      </w:pPr>
      <w:r>
        <w:rPr>
          <w:rFonts w:ascii="Meiryo" w:hAnsi="Meiryo" w:eastAsia="Meiryo"/>
          <w:color w:val="263238"/>
          <w:sz w:val="21"/>
        </w:rPr>
        <w:t>自社の窓口・規程・運用が変わったとき。</w:t>
      </w:r>
    </w:p>
    <w:p>
      <w:pPr>
        <w:pStyle w:val="ListBullet"/>
        <w:spacing w:after="40" w:line="252" w:lineRule="auto"/>
      </w:pPr>
      <w:r>
        <w:rPr>
          <w:rFonts w:ascii="Meiryo" w:hAnsi="Meiryo" w:eastAsia="Meiryo"/>
          <w:color w:val="263238"/>
          <w:sz w:val="21"/>
        </w:rPr>
        <w:t>少なくとも年1回、内容と数値・基準日を点検する。</w:t>
      </w:r>
    </w:p>
    <w:p>
      <w:r>
        <w:br w:type="page"/>
      </w:r>
    </w:p>
    <w:p>
      <w:pPr>
        <w:keepNext/>
        <w:pBdr>
          <w:bottom w:val="single" w:sz="10" w:space="6" w:color="B58A3A"/>
        </w:pBdr>
        <w:spacing w:before="240" w:after="120"/>
      </w:pPr>
      <w:r>
        <w:rPr>
          <w:rFonts w:ascii="Meiryo" w:hAnsi="Meiryo" w:eastAsia="Meiryo"/>
          <w:b/>
          <w:color w:val="16314F"/>
          <w:sz w:val="30"/>
        </w:rPr>
        <w:t>第8部　運営者向けFAQ</w:t>
      </w:r>
    </w:p>
    <w:p>
      <w:pPr>
        <w:spacing w:after="20" w:before="0" w:line="254" w:lineRule="auto"/>
      </w:pPr>
      <w:r>
        <w:rPr>
          <w:rFonts w:ascii="Meiryo" w:hAnsi="Meiryo" w:eastAsia="Meiryo"/>
          <w:b/>
          <w:color w:val="16314F"/>
          <w:sz w:val="21"/>
        </w:rPr>
        <w:t xml:space="preserve">Q　</w:t>
      </w:r>
      <w:r>
        <w:rPr>
          <w:rFonts w:ascii="Meiryo" w:hAnsi="Meiryo" w:eastAsia="Meiryo"/>
          <w:b/>
          <w:color w:val="16314F"/>
          <w:sz w:val="21"/>
        </w:rPr>
        <w:t>受講者から「これは法律で禁止されているのか」と聞かれたら？</w:t>
      </w:r>
    </w:p>
    <w:p>
      <w:pPr>
        <w:spacing w:after="120" w:before="0" w:line="254" w:lineRule="auto"/>
      </w:pPr>
      <w:r>
        <w:rPr>
          <w:rFonts w:ascii="Meiryo" w:hAnsi="Meiryo" w:eastAsia="Meiryo"/>
          <w:b/>
          <w:color w:val="B58A3A"/>
          <w:sz w:val="20"/>
        </w:rPr>
        <w:t xml:space="preserve">A　</w:t>
      </w:r>
      <w:r>
        <w:rPr>
          <w:rFonts w:ascii="Meiryo" w:hAnsi="Meiryo" w:eastAsia="Meiryo"/>
          <w:color w:val="263238"/>
          <w:sz w:val="20"/>
        </w:rPr>
        <w:t>義務・推奨・啓発を区別して答えます。均等待遇や合理的配慮の提供、不利益取扱いの禁止など法律上の義務に当たるものと、人権啓発上「避けるべき」とされるものは異なります。断定できないものは、その場で結論づけず、窓口・法務に確認するとして引き取ります。</w:t>
      </w:r>
    </w:p>
    <w:p>
      <w:pPr>
        <w:spacing w:after="20" w:before="0" w:line="254" w:lineRule="auto"/>
      </w:pPr>
      <w:r>
        <w:rPr>
          <w:rFonts w:ascii="Meiryo" w:hAnsi="Meiryo" w:eastAsia="Meiryo"/>
          <w:b/>
          <w:color w:val="16314F"/>
          <w:sz w:val="21"/>
        </w:rPr>
        <w:t xml:space="preserve">Q　</w:t>
      </w:r>
      <w:r>
        <w:rPr>
          <w:rFonts w:ascii="Meiryo" w:hAnsi="Meiryo" w:eastAsia="Meiryo"/>
          <w:b/>
          <w:color w:val="16314F"/>
          <w:sz w:val="21"/>
        </w:rPr>
        <w:t>「冗談まで禁止するのか」「雑談ができなくなる」と反発が出たら？</w:t>
      </w:r>
    </w:p>
    <w:p>
      <w:pPr>
        <w:spacing w:after="120" w:before="0" w:line="254" w:lineRule="auto"/>
      </w:pPr>
      <w:r>
        <w:rPr>
          <w:rFonts w:ascii="Meiryo" w:hAnsi="Meiryo" w:eastAsia="Meiryo"/>
          <w:b/>
          <w:color w:val="B58A3A"/>
          <w:sz w:val="20"/>
        </w:rPr>
        <w:t xml:space="preserve">A　</w:t>
      </w:r>
      <w:r>
        <w:rPr>
          <w:rFonts w:ascii="Meiryo" w:hAnsi="Meiryo" w:eastAsia="Meiryo"/>
          <w:color w:val="263238"/>
          <w:sz w:val="20"/>
        </w:rPr>
        <w:t>本研修は雑談や冗談そのものを禁止するものではない、と明確に伝えます。問題になるのは、属性への決めつけや私的な詮索です。判断軸は「業務に必要か」「本人の同意があるか」「相手の属性を前提にしていないか」である、と整理します。</w:t>
      </w:r>
    </w:p>
    <w:p>
      <w:pPr>
        <w:spacing w:after="20" w:before="0" w:line="254" w:lineRule="auto"/>
      </w:pPr>
      <w:r>
        <w:rPr>
          <w:rFonts w:ascii="Meiryo" w:hAnsi="Meiryo" w:eastAsia="Meiryo"/>
          <w:b/>
          <w:color w:val="16314F"/>
          <w:sz w:val="21"/>
        </w:rPr>
        <w:t xml:space="preserve">Q　</w:t>
      </w:r>
      <w:r>
        <w:rPr>
          <w:rFonts w:ascii="Meiryo" w:hAnsi="Meiryo" w:eastAsia="Meiryo"/>
          <w:b/>
          <w:color w:val="16314F"/>
          <w:sz w:val="21"/>
        </w:rPr>
        <w:t>受講者の中に当事者がいそうな場合は？</w:t>
      </w:r>
    </w:p>
    <w:p>
      <w:pPr>
        <w:spacing w:after="120" w:before="0" w:line="254" w:lineRule="auto"/>
      </w:pPr>
      <w:r>
        <w:rPr>
          <w:rFonts w:ascii="Meiryo" w:hAnsi="Meiryo" w:eastAsia="Meiryo"/>
          <w:b/>
          <w:color w:val="B58A3A"/>
          <w:sz w:val="20"/>
        </w:rPr>
        <w:t xml:space="preserve">A　</w:t>
      </w:r>
      <w:r>
        <w:rPr>
          <w:rFonts w:ascii="Meiryo" w:hAnsi="Meiryo" w:eastAsia="Meiryo"/>
          <w:color w:val="263238"/>
          <w:sz w:val="20"/>
        </w:rPr>
        <w:t>当事者がいる前提で進めます。体験を無理に話させない、属性を本人の同意なく話題にしない、つらければ退席してよい、と最初に伝えます。</w:t>
      </w:r>
    </w:p>
    <w:p>
      <w:pPr>
        <w:spacing w:after="20" w:before="0" w:line="254" w:lineRule="auto"/>
      </w:pPr>
      <w:r>
        <w:rPr>
          <w:rFonts w:ascii="Meiryo" w:hAnsi="Meiryo" w:eastAsia="Meiryo"/>
          <w:b/>
          <w:color w:val="16314F"/>
          <w:sz w:val="21"/>
        </w:rPr>
        <w:t xml:space="preserve">Q　</w:t>
      </w:r>
      <w:r>
        <w:rPr>
          <w:rFonts w:ascii="Meiryo" w:hAnsi="Meiryo" w:eastAsia="Meiryo"/>
          <w:b/>
          <w:color w:val="16314F"/>
          <w:sz w:val="21"/>
        </w:rPr>
        <w:t>その場で具体的な相談を持ちかけられたら？</w:t>
      </w:r>
    </w:p>
    <w:p>
      <w:pPr>
        <w:spacing w:after="120" w:before="0" w:line="254" w:lineRule="auto"/>
      </w:pPr>
      <w:r>
        <w:rPr>
          <w:rFonts w:ascii="Meiryo" w:hAnsi="Meiryo" w:eastAsia="Meiryo"/>
          <w:b/>
          <w:color w:val="B58A3A"/>
          <w:sz w:val="20"/>
        </w:rPr>
        <w:t xml:space="preserve">A　</w:t>
      </w:r>
      <w:r>
        <w:rPr>
          <w:rFonts w:ascii="Meiryo" w:hAnsi="Meiryo" w:eastAsia="Meiryo"/>
          <w:color w:val="263238"/>
          <w:sz w:val="20"/>
        </w:rPr>
        <w:t>傾聴し、事実・伝聞・推測を区別して記録し、本人の同意を得て窓口につなぎます。その場で評価・事実認定はしません（第5部参照）。</w:t>
      </w:r>
    </w:p>
    <w:p>
      <w:pPr>
        <w:spacing w:after="20" w:before="0" w:line="254" w:lineRule="auto"/>
      </w:pPr>
      <w:r>
        <w:rPr>
          <w:rFonts w:ascii="Meiryo" w:hAnsi="Meiryo" w:eastAsia="Meiryo"/>
          <w:b/>
          <w:color w:val="16314F"/>
          <w:sz w:val="21"/>
        </w:rPr>
        <w:t xml:space="preserve">Q　</w:t>
      </w:r>
      <w:r>
        <w:rPr>
          <w:rFonts w:ascii="Meiryo" w:hAnsi="Meiryo" w:eastAsia="Meiryo"/>
          <w:b/>
          <w:color w:val="16314F"/>
          <w:sz w:val="21"/>
        </w:rPr>
        <w:t>生成AIで相談内容を整理してよいか聞かれたら？</w:t>
      </w:r>
    </w:p>
    <w:p>
      <w:pPr>
        <w:spacing w:after="120" w:before="0" w:line="254" w:lineRule="auto"/>
      </w:pPr>
      <w:r>
        <w:rPr>
          <w:rFonts w:ascii="Meiryo" w:hAnsi="Meiryo" w:eastAsia="Meiryo"/>
          <w:b/>
          <w:color w:val="B58A3A"/>
          <w:sz w:val="20"/>
        </w:rPr>
        <w:t xml:space="preserve">A　</w:t>
      </w:r>
      <w:r>
        <w:rPr>
          <w:rFonts w:ascii="Meiryo" w:hAnsi="Meiryo" w:eastAsia="Meiryo"/>
          <w:color w:val="263238"/>
          <w:sz w:val="20"/>
        </w:rPr>
        <w:t>実名・病名などの機微情報を外部の生成AIにそのまま入力してはいけない、と伝えます。AIは匿名加工・自社が承認した環境・人による確認を前提に、論点整理などの補助に限り、差別や人権侵害の有無を最終判断させない、という原則を示します。</w:t>
      </w:r>
    </w:p>
    <w:p>
      <w:pPr>
        <w:spacing w:after="20" w:before="0" w:line="254" w:lineRule="auto"/>
      </w:pPr>
      <w:r>
        <w:rPr>
          <w:rFonts w:ascii="Meiryo" w:hAnsi="Meiryo" w:eastAsia="Meiryo"/>
          <w:b/>
          <w:color w:val="16314F"/>
          <w:sz w:val="21"/>
        </w:rPr>
        <w:t xml:space="preserve">Q　</w:t>
      </w:r>
      <w:r>
        <w:rPr>
          <w:rFonts w:ascii="Meiryo" w:hAnsi="Meiryo" w:eastAsia="Meiryo"/>
          <w:b/>
          <w:color w:val="16314F"/>
          <w:sz w:val="21"/>
        </w:rPr>
        <w:t>匿名アンケートに深刻な内容が書かれていたら？</w:t>
      </w:r>
    </w:p>
    <w:p>
      <w:pPr>
        <w:spacing w:after="120" w:before="0" w:line="254" w:lineRule="auto"/>
      </w:pPr>
      <w:r>
        <w:rPr>
          <w:rFonts w:ascii="Meiryo" w:hAnsi="Meiryo" w:eastAsia="Meiryo"/>
          <w:b/>
          <w:color w:val="B58A3A"/>
          <w:sz w:val="20"/>
        </w:rPr>
        <w:t xml:space="preserve">A　</w:t>
      </w:r>
      <w:r>
        <w:rPr>
          <w:rFonts w:ascii="Meiryo" w:hAnsi="Meiryo" w:eastAsia="Meiryo"/>
          <w:color w:val="263238"/>
          <w:sz w:val="20"/>
        </w:rPr>
        <w:t>事前に決めた担当（人事・法務等）へ速やかに共有します。緊急性が高い内容の取扱いは、あらかじめ手順を決めておきます。</w:t>
      </w:r>
    </w:p>
    <w:p>
      <w:pPr>
        <w:keepNext/>
        <w:pBdr>
          <w:bottom w:val="single" w:sz="10" w:space="6" w:color="B58A3A"/>
        </w:pBdr>
        <w:spacing w:before="240" w:after="120"/>
      </w:pPr>
      <w:r>
        <w:rPr>
          <w:rFonts w:ascii="Meiryo" w:hAnsi="Meiryo" w:eastAsia="Meiryo"/>
          <w:b/>
          <w:color w:val="16314F"/>
          <w:sz w:val="30"/>
        </w:rPr>
        <w:t>本資料の位置づけと留意事項</w:t>
      </w:r>
    </w:p>
    <w:p>
      <w:pPr>
        <w:pStyle w:val="ListBullet"/>
        <w:spacing w:after="40" w:line="252" w:lineRule="auto"/>
      </w:pPr>
      <w:r>
        <w:rPr>
          <w:rFonts w:ascii="Meiryo" w:hAnsi="Meiryo" w:eastAsia="Meiryo"/>
          <w:color w:val="263238"/>
          <w:sz w:val="21"/>
        </w:rPr>
        <w:t>本資料は一般的な情報提供・社内研修支援を目的とするもので、特定の事案に対する法的助言ではありません。個別の判断は、自社の規程と、人事・法務・産業保健など適切な窓口・専門家への確認のうえで行ってください。</w:t>
      </w:r>
    </w:p>
    <w:p>
      <w:pPr>
        <w:pStyle w:val="ListBullet"/>
        <w:spacing w:after="40" w:line="252" w:lineRule="auto"/>
      </w:pPr>
      <w:r>
        <w:rPr>
          <w:rFonts w:ascii="Meiryo" w:hAnsi="Meiryo" w:eastAsia="Meiryo"/>
          <w:color w:val="263238"/>
          <w:sz w:val="21"/>
        </w:rPr>
        <w:t>本研修・本資料だけで、職場のすべての人権リスクに完全に対応できるわけではありません。継続的な見直しと、相談・対応の体制づくりが前提です。</w:t>
      </w:r>
    </w:p>
    <w:p>
      <w:pPr>
        <w:pStyle w:val="ListBullet"/>
        <w:spacing w:after="40" w:line="252" w:lineRule="auto"/>
      </w:pPr>
      <w:r>
        <w:rPr>
          <w:rFonts w:ascii="Meiryo" w:hAnsi="Meiryo" w:eastAsia="Meiryo"/>
          <w:color w:val="263238"/>
          <w:sz w:val="21"/>
        </w:rPr>
        <w:t>判断に迷う事案は、相談者の主張だけで処分せず、対象とされた側の否認だけで幕引きせず、正式な窓口・人事・法務・産業保健につないでください。</w:t>
      </w:r>
    </w:p>
    <w:p>
      <w:pPr>
        <w:pStyle w:val="ListBullet"/>
        <w:spacing w:after="40" w:line="252" w:lineRule="auto"/>
      </w:pPr>
      <w:r>
        <w:rPr>
          <w:rFonts w:ascii="Meiryo" w:hAnsi="Meiryo" w:eastAsia="Meiryo"/>
          <w:color w:val="263238"/>
          <w:sz w:val="21"/>
        </w:rPr>
        <w:t>法令・指針は改正されます。実施のたびに、一次情報で最新の内容を確認し、本資料を更新してください（法令・制度基準日：2026年6月18日）。</w:t>
      </w:r>
    </w:p>
    <w:sectPr w:rsidR="00FC693F" w:rsidRPr="0006063C" w:rsidSect="00034616">
      <w:footerReference w:type="default" r:id="rId9"/>
      <w:pgSz w:w="11906" w:h="16838"/>
      <w:pgMar w:top="1134" w:right="1134" w:bottom="1020" w:left="1134"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eiryo" w:hAnsi="Meiryo" w:eastAsia="Meiryo"/>
        <w:color w:val="5C6B7A"/>
        <w:sz w:val="17"/>
      </w:rPr>
      <w:t xml:space="preserve">Legal GPT ｜ 人権研修（第8回）研修運営ガイド　／　</w:t>
    </w:r>
    <w:r>
      <w:rPr>
        <w:rFonts w:ascii="Meiryo" w:hAnsi="Meiryo" w:eastAsia="Meiryo"/>
        <w:color w:val="5C6B7A"/>
        <w:sz w:val="17"/>
      </w:rPr>
      <w:fldChar w:fldCharType="begin"/>
      <w:instrText xml:space="preserve">PAGE</w:instrText>
      <w:fldChar w:fldCharType="end"/>
    </w:r>
    <w:r>
      <w:rPr>
        <w:rFonts w:ascii="Meiryo" w:hAnsi="Meiryo" w:eastAsia="Meiryo"/>
        <w:color w:val="5C6B7A"/>
        <w:sz w:val="17"/>
      </w:rPr>
      <w:t xml:space="preserve"> 頁</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Meiryo" w:hAnsi="Meiryo" w:eastAsia="Meiryo"/>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