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80" w:line="293" w:lineRule="auto"/>
      </w:pPr>
      <w:r>
        <w:rPr>
          <w:rFonts w:ascii="Meiryo" w:hAnsi="Meiryo" w:eastAsia="Meiryo" w:cs="Meiryo"/>
          <w:b/>
          <w:i w:val="0"/>
          <w:color w:val="B58A3A"/>
          <w:sz w:val="21"/>
        </w:rPr>
        <w:t>法務・総務のための社内研修資料20選    ｜    第9回 個人情報保護研修</w:t>
      </w:r>
    </w:p>
    <w:p>
      <w:pPr>
        <w:spacing w:after="80" w:before="0" w:line="264" w:lineRule="auto"/>
      </w:pPr>
      <w:r>
        <w:rPr>
          <w:rFonts w:ascii="Meiryo" w:hAnsi="Meiryo" w:eastAsia="Meiryo" w:cs="Meiryo"/>
          <w:b/>
          <w:i w:val="0"/>
          <w:color w:val="16314F"/>
          <w:sz w:val="44"/>
        </w:rPr>
        <w:t>確認テスト　解答・解説</w:t>
      </w:r>
    </w:p>
    <w:p>
      <w:pPr>
        <w:spacing w:after="160" w:before="0" w:line="293" w:lineRule="auto"/>
      </w:pPr>
      <w:r>
        <w:rPr>
          <w:rFonts w:ascii="Meiryo" w:hAnsi="Meiryo" w:eastAsia="Meiryo" w:cs="Meiryo"/>
          <w:b w:val="0"/>
          <w:i w:val="0"/>
          <w:color w:val="243B53"/>
          <w:sz w:val="22"/>
        </w:rPr>
        <w:t>全12問（○×3問・四択4問・ケース判断5問）</w:t>
      </w:r>
    </w:p>
    <w:p>
      <w:pPr>
        <w:pBdr>
          <w:bottom w:val="single" w:sz="8" w:space="1" w:color="B58A3A"/>
        </w:pBdr>
        <w:spacing w:before="40" w:after="120"/>
      </w:pPr>
    </w:p>
    <w:p>
      <w:pPr>
        <w:spacing w:after="40" w:before="0" w:line="293" w:lineRule="auto"/>
      </w:pPr>
      <w:r>
        <w:rPr>
          <w:rFonts w:ascii="Meiryo" w:hAnsi="Meiryo" w:eastAsia="Meiryo" w:cs="Meiryo"/>
          <w:b w:val="0"/>
          <w:i w:val="0"/>
          <w:color w:val="64748B"/>
          <w:sz w:val="18"/>
        </w:rPr>
        <w:t>法令・制度基準日：2026年6月18日（令和2年改正個人情報保護法・施行済みの内容に基づく）</w:t>
      </w:r>
    </w:p>
    <w:p>
      <w:pPr>
        <w:spacing w:after="160" w:before="0" w:line="293" w:lineRule="auto"/>
      </w:pPr>
      <w:r>
        <w:rPr>
          <w:rFonts w:ascii="Meiryo" w:hAnsi="Meiryo" w:eastAsia="Meiryo" w:cs="Meiryo"/>
          <w:b w:val="0"/>
          <w:i w:val="0"/>
          <w:color w:val="64748B"/>
          <w:sz w:val="18"/>
        </w:rPr>
        <w:t>「対応スライド」は研修用スライド資料の通し番号です。</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16314F"/>
              <w:start w:val="single" w:sz="4" w:space="0" w:color="16314F"/>
              <w:bottom w:val="single" w:sz="4" w:space="0" w:color="16314F"/>
              <w:end w:val="single" w:sz="4" w:space="0" w:color="16314F"/>
            </w:tcBorders>
            <w:shd w:val="clear" w:color="auto" w:fill="EAF0F6"/>
            <w:tcMar>
              <w:top w:w="90" w:type="dxa"/>
              <w:start w:w="150" w:type="dxa"/>
              <w:bottom w:w="90" w:type="dxa"/>
              <w:end w:w="150" w:type="dxa"/>
            </w:tcMar>
          </w:tcPr>
          <w:p>
            <w:pPr>
              <w:spacing w:after="40" w:line="278" w:lineRule="auto"/>
            </w:pPr>
            <w:r/>
            <w:r>
              <w:rPr>
                <w:rFonts w:ascii="Meiryo" w:hAnsi="Meiryo" w:eastAsia="Meiryo" w:cs="Meiryo"/>
                <w:b/>
                <w:i w:val="0"/>
                <w:color w:val="16314F"/>
                <w:sz w:val="22"/>
              </w:rPr>
              <w:t>解説を読むときの前提</w:t>
            </w:r>
          </w:p>
          <w:p>
            <w:pPr>
              <w:spacing w:after="40" w:line="283" w:lineRule="auto"/>
            </w:pPr>
            <w:r>
              <w:rPr>
                <w:rFonts w:ascii="Meiryo" w:hAnsi="Meiryo" w:eastAsia="Meiryo" w:cs="Meiryo"/>
                <w:b w:val="0"/>
                <w:i w:val="0"/>
                <w:color w:val="263238"/>
                <w:sz w:val="20"/>
              </w:rPr>
              <w:t>報告義務（委員会報告）や本人通知の要否を最終的に判断するのは、個人情報保護担当・法務などの担当部署です。本解説の「報告対象になり得る」は、現場が報告をためらわないための目安です。</w:t>
            </w:r>
          </w:p>
          <w:p>
            <w:pPr>
              <w:spacing w:after="40" w:line="283" w:lineRule="auto"/>
            </w:pPr>
            <w:r>
              <w:rPr>
                <w:rFonts w:ascii="Meiryo" w:hAnsi="Meiryo" w:eastAsia="Meiryo" w:cs="Meiryo"/>
                <w:b w:val="0"/>
                <w:i w:val="0"/>
                <w:color w:val="263238"/>
                <w:sz w:val="20"/>
              </w:rPr>
              <w:t>ケース判断問題の解答は模範例です。自社の規程・報告ルートに合わせて読み替えてください。</w:t>
            </w:r>
          </w:p>
        </w:tc>
      </w:tr>
    </w:tbl>
    <w:p>
      <w:pPr>
        <w:spacing w:after="0" w:before="0"/>
      </w:pPr>
      <w:r>
        <w:rPr>
          <w:sz w:val="8"/>
        </w:rPr>
      </w:r>
    </w:p>
    <w:p>
      <w:pPr>
        <w:pStyle w:val="Heading1"/>
        <w:pBdr>
          <w:bottom w:val="single" w:sz="10" w:space="3" w:color="B58A3A"/>
        </w:pBdr>
      </w:pPr>
      <w:r>
        <w:rPr>
          <w:rFonts w:ascii="Meiryo" w:hAnsi="Meiryo" w:eastAsia="Meiryo" w:cs="Meiryo"/>
          <w:b/>
          <w:i w:val="0"/>
          <w:color w:val="16314F"/>
          <w:sz w:val="30"/>
        </w:rPr>
        <w:t>第1部　○×問題</w:t>
      </w:r>
    </w:p>
    <w:p>
      <w:pPr>
        <w:pStyle w:val="Heading2"/>
        <w:pBdr>
          <w:bottom w:val="single" w:sz="6" w:space="3" w:color="D7DEE6"/>
        </w:pBdr>
      </w:pPr>
      <w:r>
        <w:rPr>
          <w:rFonts w:ascii="Meiryo" w:hAnsi="Meiryo" w:eastAsia="Meiryo" w:cs="Meiryo"/>
          <w:b/>
          <w:i w:val="0"/>
          <w:color w:val="16314F"/>
          <w:sz w:val="25"/>
        </w:rPr>
        <w:t>問1　正解：×（誤り）</w:t>
      </w:r>
    </w:p>
    <w:tbl>
      <w:tblPr>
        <w:tblW w:w="9600" w:type="dxa"/>
        <w:jc w:val="left"/>
        <w:tblLayout w:type="fixed"/>
        <w:tblLook w:firstColumn="1" w:firstRow="1" w:lastColumn="0" w:lastRow="0" w:noHBand="0" w:noVBand="1" w:val="04A0"/>
      </w:tblPr>
      <w:tblGrid>
        <w:gridCol w:w="2600"/>
        <w:gridCol w:w="7000"/>
      </w:tblGrid>
      <w:tr>
        <w:tc>
          <w:tcPr>
            <w:tcW w:type="dxa" w:w="26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項目</w:t>
            </w:r>
          </w:p>
        </w:tc>
        <w:tc>
          <w:tcPr>
            <w:tcW w:type="dxa" w:w="70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内容</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この設問のテーマ</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個人情報は「どの部署にもある」</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関係する情報・分類</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個人情報全般</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対応スライド</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No.5（個人情報はどの部署にもある）</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自社で確認すること</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全社員が対象である旨を、研修案内・規程の適用範囲で明記しているか。</w:t>
            </w:r>
          </w:p>
        </w:tc>
      </w:tr>
    </w:tbl>
    <w:p>
      <w:pPr>
        <w:spacing w:after="0" w:before="0"/>
      </w:pPr>
      <w:r>
        <w:rPr>
          <w:sz w:val="8"/>
        </w:rPr>
      </w:r>
    </w:p>
    <w:p>
      <w:pPr>
        <w:spacing w:after="0" w:before="0"/>
      </w:pPr>
      <w:r>
        <w:rPr>
          <w:sz w:val="4"/>
        </w:rPr>
      </w:r>
    </w:p>
    <w:p>
      <w:pPr>
        <w:spacing w:after="80" w:before="0" w:line="293" w:lineRule="auto"/>
      </w:pPr>
      <w:r>
        <w:rPr>
          <w:rFonts w:ascii="Meiryo" w:hAnsi="Meiryo" w:eastAsia="Meiryo" w:cs="Meiryo"/>
          <w:b w:val="0"/>
          <w:i w:val="0"/>
          <w:color w:val="263238"/>
          <w:sz w:val="21"/>
        </w:rPr>
        <w:t>個人情報を扱うのは人事や顧客対応の部署だけ、という考えは誤りです。総務・経理・現場など、ほぼすべての部署が氏名や連絡先などの個人情報に触れます。</w:t>
      </w:r>
    </w:p>
    <w:p>
      <w:pPr>
        <w:spacing w:after="80" w:before="0" w:line="293" w:lineRule="auto"/>
      </w:pPr>
      <w:r>
        <w:rPr>
          <w:rFonts w:ascii="Meiryo" w:hAnsi="Meiryo" w:eastAsia="Meiryo" w:cs="Meiryo"/>
          <w:b w:val="0"/>
          <w:i w:val="0"/>
          <w:color w:val="263238"/>
          <w:sz w:val="21"/>
        </w:rPr>
        <w:t>「自分には関係ない」という思い込みが、初動の遅れにつながります。</w:t>
      </w:r>
    </w:p>
    <w:p>
      <w:pPr>
        <w:spacing w:after="0" w:before="0"/>
      </w:pPr>
      <w:r>
        <w:rPr>
          <w:sz w:val="8"/>
        </w:rPr>
      </w:r>
    </w:p>
    <w:p>
      <w:pPr>
        <w:pStyle w:val="Heading2"/>
        <w:pBdr>
          <w:bottom w:val="single" w:sz="6" w:space="3" w:color="D7DEE6"/>
        </w:pBdr>
      </w:pPr>
      <w:r>
        <w:rPr>
          <w:rFonts w:ascii="Meiryo" w:hAnsi="Meiryo" w:eastAsia="Meiryo" w:cs="Meiryo"/>
          <w:b/>
          <w:i w:val="0"/>
          <w:color w:val="16314F"/>
          <w:sz w:val="25"/>
        </w:rPr>
        <w:t>問2　正解：○（正しい）</w:t>
      </w:r>
    </w:p>
    <w:tbl>
      <w:tblPr>
        <w:tblW w:w="9600" w:type="dxa"/>
        <w:jc w:val="left"/>
        <w:tblLayout w:type="fixed"/>
        <w:tblLook w:firstColumn="1" w:firstRow="1" w:lastColumn="0" w:lastRow="0" w:noHBand="0" w:noVBand="1" w:val="04A0"/>
      </w:tblPr>
      <w:tblGrid>
        <w:gridCol w:w="2600"/>
        <w:gridCol w:w="7000"/>
      </w:tblGrid>
      <w:tr>
        <w:tc>
          <w:tcPr>
            <w:tcW w:type="dxa" w:w="26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項目</w:t>
            </w:r>
          </w:p>
        </w:tc>
        <w:tc>
          <w:tcPr>
            <w:tcW w:type="dxa" w:w="70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内容</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この設問のテーマ</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紙の紛失も「漏えい等」</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関係する情報・分類</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個人データ（紙の名簿）／滅失・漏えい</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対応スライド</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No.14（紙資料の置き忘れ）、No.18（漏えい等とは）</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自社で確認すること</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紙媒体の持出し・保管・廃棄のルールが定められているか。</w:t>
            </w:r>
          </w:p>
        </w:tc>
      </w:tr>
    </w:tbl>
    <w:p>
      <w:pPr>
        <w:spacing w:after="0" w:before="0"/>
      </w:pPr>
      <w:r>
        <w:rPr>
          <w:sz w:val="8"/>
        </w:rPr>
      </w:r>
    </w:p>
    <w:p>
      <w:pPr>
        <w:spacing w:after="0" w:before="0"/>
      </w:pPr>
      <w:r>
        <w:rPr>
          <w:sz w:val="4"/>
        </w:rPr>
      </w:r>
    </w:p>
    <w:p>
      <w:pPr>
        <w:spacing w:after="80" w:before="0" w:line="293" w:lineRule="auto"/>
      </w:pPr>
      <w:r>
        <w:rPr>
          <w:rFonts w:ascii="Meiryo" w:hAnsi="Meiryo" w:eastAsia="Meiryo" w:cs="Meiryo"/>
          <w:b w:val="0"/>
          <w:i w:val="0"/>
          <w:color w:val="263238"/>
          <w:sz w:val="21"/>
        </w:rPr>
        <w:t>紙であっても、個人データを記載した書類の紛失・置き忘れは「漏えい等」に当たり得ます。「データではなく紙だから対象外」とはなりません。</w:t>
      </w:r>
    </w:p>
    <w:p>
      <w:pPr>
        <w:spacing w:after="80" w:before="0" w:line="293" w:lineRule="auto"/>
      </w:pPr>
      <w:r>
        <w:rPr>
          <w:rFonts w:ascii="Meiryo" w:hAnsi="Meiryo" w:eastAsia="Meiryo" w:cs="Meiryo"/>
          <w:b w:val="0"/>
          <w:i w:val="0"/>
          <w:color w:val="263238"/>
          <w:sz w:val="21"/>
        </w:rPr>
        <w:t>見つからない場合はもちろん、見つかった場合でも、第三者が見た可能性があれば報告の検討対象になります。</w:t>
      </w:r>
    </w:p>
    <w:p>
      <w:pPr>
        <w:spacing w:after="0" w:before="0"/>
      </w:pPr>
      <w:r>
        <w:rPr>
          <w:sz w:val="8"/>
        </w:rPr>
      </w:r>
    </w:p>
    <w:p>
      <w:pPr>
        <w:pStyle w:val="Heading2"/>
        <w:pBdr>
          <w:bottom w:val="single" w:sz="6" w:space="3" w:color="D7DEE6"/>
        </w:pBdr>
      </w:pPr>
      <w:r>
        <w:rPr>
          <w:rFonts w:ascii="Meiryo" w:hAnsi="Meiryo" w:eastAsia="Meiryo" w:cs="Meiryo"/>
          <w:b/>
          <w:i w:val="0"/>
          <w:color w:val="16314F"/>
          <w:sz w:val="25"/>
        </w:rPr>
        <w:t>問3　正解：×（誤り）</w:t>
      </w:r>
    </w:p>
    <w:tbl>
      <w:tblPr>
        <w:tblW w:w="9600" w:type="dxa"/>
        <w:jc w:val="left"/>
        <w:tblLayout w:type="fixed"/>
        <w:tblLook w:firstColumn="1" w:firstRow="1" w:lastColumn="0" w:lastRow="0" w:noHBand="0" w:noVBand="1" w:val="04A0"/>
      </w:tblPr>
      <w:tblGrid>
        <w:gridCol w:w="2600"/>
        <w:gridCol w:w="7000"/>
      </w:tblGrid>
      <w:tr>
        <w:tc>
          <w:tcPr>
            <w:tcW w:type="dxa" w:w="26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項目</w:t>
            </w:r>
          </w:p>
        </w:tc>
        <w:tc>
          <w:tcPr>
            <w:tcW w:type="dxa" w:w="70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内容</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この設問のテーマ</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証拠は消さない</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関係する情報・分類</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初動対応／証拠保全</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対応スライド</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No.19（してはいけないこと）、No.21（証拠保全）</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自社で確認すること</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事故時に、メール・ログ・設定を保全する手順が定められているか。</w:t>
            </w:r>
          </w:p>
        </w:tc>
      </w:tr>
    </w:tbl>
    <w:p>
      <w:pPr>
        <w:spacing w:after="0" w:before="0"/>
      </w:pPr>
      <w:r>
        <w:rPr>
          <w:sz w:val="8"/>
        </w:rPr>
      </w:r>
    </w:p>
    <w:p>
      <w:pPr>
        <w:spacing w:after="0" w:before="0"/>
      </w:pPr>
      <w:r>
        <w:rPr>
          <w:sz w:val="4"/>
        </w:rPr>
      </w:r>
    </w:p>
    <w:p>
      <w:pPr>
        <w:spacing w:after="80" w:before="0" w:line="293" w:lineRule="auto"/>
      </w:pPr>
      <w:r>
        <w:rPr>
          <w:rFonts w:ascii="Meiryo" w:hAnsi="Meiryo" w:eastAsia="Meiryo" w:cs="Meiryo"/>
          <w:b w:val="0"/>
          <w:i w:val="0"/>
          <w:color w:val="263238"/>
          <w:sz w:val="21"/>
        </w:rPr>
        <w:t>混乱を避けるためであっても、証拠になるメール・ログ・共有設定を削除・上書き・初期化してはいけません。</w:t>
      </w:r>
    </w:p>
    <w:p>
      <w:pPr>
        <w:spacing w:after="80" w:before="0" w:line="293" w:lineRule="auto"/>
      </w:pPr>
      <w:r>
        <w:rPr>
          <w:rFonts w:ascii="Meiryo" w:hAnsi="Meiryo" w:eastAsia="Meiryo" w:cs="Meiryo"/>
          <w:b w:val="0"/>
          <w:i w:val="0"/>
          <w:color w:val="263238"/>
          <w:sz w:val="21"/>
        </w:rPr>
        <w:t>原因究明・影響範囲の特定・報告のために、記録はそのまま残すことが必要です。「消す」ではなく「保全する」が正解です。</w:t>
      </w:r>
    </w:p>
    <w:p>
      <w:pPr>
        <w:spacing w:after="0" w:before="0"/>
      </w:pPr>
      <w:r>
        <w:rPr>
          <w:sz w:val="8"/>
        </w:rPr>
      </w:r>
    </w:p>
    <w:p>
      <w:pPr>
        <w:pStyle w:val="Heading1"/>
        <w:pBdr>
          <w:bottom w:val="single" w:sz="10" w:space="3" w:color="B58A3A"/>
        </w:pBdr>
      </w:pPr>
      <w:r>
        <w:rPr>
          <w:rFonts w:ascii="Meiryo" w:hAnsi="Meiryo" w:eastAsia="Meiryo" w:cs="Meiryo"/>
          <w:b/>
          <w:i w:val="0"/>
          <w:color w:val="16314F"/>
          <w:sz w:val="30"/>
        </w:rPr>
        <w:t>第2部　四択問題</w:t>
      </w:r>
    </w:p>
    <w:p>
      <w:pPr>
        <w:pStyle w:val="Heading2"/>
        <w:pBdr>
          <w:bottom w:val="single" w:sz="6" w:space="3" w:color="D7DEE6"/>
        </w:pBdr>
      </w:pPr>
      <w:r>
        <w:rPr>
          <w:rFonts w:ascii="Meiryo" w:hAnsi="Meiryo" w:eastAsia="Meiryo" w:cs="Meiryo"/>
          <w:b/>
          <w:i w:val="0"/>
          <w:color w:val="16314F"/>
          <w:sz w:val="25"/>
        </w:rPr>
        <w:t>問4　正解：イ（健康診断の結果や持病に関する情報）</w:t>
      </w:r>
    </w:p>
    <w:tbl>
      <w:tblPr>
        <w:tblW w:w="9600" w:type="dxa"/>
        <w:jc w:val="left"/>
        <w:tblLayout w:type="fixed"/>
        <w:tblLook w:firstColumn="1" w:firstRow="1" w:lastColumn="0" w:lastRow="0" w:noHBand="0" w:noVBand="1" w:val="04A0"/>
      </w:tblPr>
      <w:tblGrid>
        <w:gridCol w:w="2600"/>
        <w:gridCol w:w="7000"/>
      </w:tblGrid>
      <w:tr>
        <w:tc>
          <w:tcPr>
            <w:tcW w:type="dxa" w:w="26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項目</w:t>
            </w:r>
          </w:p>
        </w:tc>
        <w:tc>
          <w:tcPr>
            <w:tcW w:type="dxa" w:w="70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内容</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この設問のテーマ</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要配慮個人情報の理解</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関係する情報・分類</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要配慮個人情報（健康・病歴など）</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対応スライド</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No.6（個人情報・個人データ・要配慮の三つの違い）</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自社で確認すること</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健康情報・人事評価などを扱う際の、より厳格な取扱いルールがあるか。</w:t>
            </w:r>
          </w:p>
        </w:tc>
      </w:tr>
    </w:tbl>
    <w:p>
      <w:pPr>
        <w:spacing w:after="0" w:before="0"/>
      </w:pPr>
      <w:r>
        <w:rPr>
          <w:sz w:val="8"/>
        </w:rPr>
      </w:r>
    </w:p>
    <w:p>
      <w:pPr>
        <w:spacing w:after="0" w:before="0"/>
      </w:pPr>
      <w:r>
        <w:rPr>
          <w:sz w:val="4"/>
        </w:rPr>
      </w:r>
    </w:p>
    <w:p>
      <w:pPr>
        <w:spacing w:after="80" w:before="0" w:line="293" w:lineRule="auto"/>
      </w:pPr>
      <w:r>
        <w:rPr>
          <w:rFonts w:ascii="Meiryo" w:hAnsi="Meiryo" w:eastAsia="Meiryo" w:cs="Meiryo"/>
          <w:b w:val="0"/>
          <w:i w:val="0"/>
          <w:color w:val="263238"/>
          <w:sz w:val="21"/>
        </w:rPr>
        <w:t>健康・病歴・障害などに関する情報は、要配慮個人情報に当たり得ます。漏えい等が起きた場合、報告対象となる事態の一類型（要配慮を含む）として、特に慎重に扱われます。</w:t>
      </w:r>
    </w:p>
    <w:p>
      <w:pPr>
        <w:spacing w:after="80" w:before="0" w:line="293" w:lineRule="auto"/>
      </w:pPr>
      <w:r>
        <w:rPr>
          <w:rFonts w:ascii="Meiryo" w:hAnsi="Meiryo" w:eastAsia="Meiryo" w:cs="Meiryo"/>
          <w:b w:val="0"/>
          <w:i w:val="0"/>
          <w:color w:val="263238"/>
          <w:sz w:val="21"/>
        </w:rPr>
        <w:t>ア（メールアドレス）は個人情報になり得ますが要配慮ではありません。ウ（部署名）・エ（役職名）は、それだけでは通常、個人を特定する情報とはいえず、要配慮にも当たりません。</w:t>
      </w:r>
    </w:p>
    <w:p>
      <w:pPr>
        <w:spacing w:after="0" w:before="0"/>
      </w:pPr>
      <w:r>
        <w:rPr>
          <w:sz w:val="8"/>
        </w:rPr>
      </w:r>
    </w:p>
    <w:p>
      <w:pPr>
        <w:pStyle w:val="Heading2"/>
        <w:pBdr>
          <w:bottom w:val="single" w:sz="6" w:space="3" w:color="D7DEE6"/>
        </w:pBdr>
      </w:pPr>
      <w:r>
        <w:rPr>
          <w:rFonts w:ascii="Meiryo" w:hAnsi="Meiryo" w:eastAsia="Meiryo" w:cs="Meiryo"/>
          <w:b/>
          <w:i w:val="0"/>
          <w:color w:val="16314F"/>
          <w:sz w:val="25"/>
        </w:rPr>
        <w:t>問5　正解：ウ（各アドレスをBCCに入れて送る）</w:t>
      </w:r>
    </w:p>
    <w:tbl>
      <w:tblPr>
        <w:tblW w:w="9600" w:type="dxa"/>
        <w:jc w:val="left"/>
        <w:tblLayout w:type="fixed"/>
        <w:tblLook w:firstColumn="1" w:firstRow="1" w:lastColumn="0" w:lastRow="0" w:noHBand="0" w:noVBand="1" w:val="04A0"/>
      </w:tblPr>
      <w:tblGrid>
        <w:gridCol w:w="2600"/>
        <w:gridCol w:w="7000"/>
      </w:tblGrid>
      <w:tr>
        <w:tc>
          <w:tcPr>
            <w:tcW w:type="dxa" w:w="26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項目</w:t>
            </w:r>
          </w:p>
        </w:tc>
        <w:tc>
          <w:tcPr>
            <w:tcW w:type="dxa" w:w="70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内容</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この設問のテーマ</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メール宛先（CC/BCC）</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関係する情報・分類</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個人情報（氏名と結びつくメールアドレス）</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対応スライド</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No.10（宛先・CC/BCC）</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自社で確認すること</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一斉送信時のBCC徹底や、一斉配信の仕組みの利用ルールがあるか。</w:t>
            </w:r>
          </w:p>
        </w:tc>
      </w:tr>
    </w:tbl>
    <w:p>
      <w:pPr>
        <w:spacing w:after="0" w:before="0"/>
      </w:pPr>
      <w:r>
        <w:rPr>
          <w:sz w:val="8"/>
        </w:rPr>
      </w:r>
    </w:p>
    <w:p>
      <w:pPr>
        <w:spacing w:after="0" w:before="0"/>
      </w:pPr>
      <w:r>
        <w:rPr>
          <w:sz w:val="4"/>
        </w:rPr>
      </w:r>
    </w:p>
    <w:p>
      <w:pPr>
        <w:spacing w:after="80" w:before="0" w:line="293" w:lineRule="auto"/>
      </w:pPr>
      <w:r>
        <w:rPr>
          <w:rFonts w:ascii="Meiryo" w:hAnsi="Meiryo" w:eastAsia="Meiryo" w:cs="Meiryo"/>
          <w:b w:val="0"/>
          <w:i w:val="0"/>
          <w:color w:val="263238"/>
          <w:sz w:val="21"/>
        </w:rPr>
        <w:t>互いに面識のない社外の複数名へ送る場合、各アドレスはBCCに入れます。これにより、受信者に他人のアドレスが見えなくなります。</w:t>
      </w:r>
    </w:p>
    <w:p>
      <w:pPr>
        <w:spacing w:after="80" w:before="0" w:line="293" w:lineRule="auto"/>
      </w:pPr>
      <w:r>
        <w:rPr>
          <w:rFonts w:ascii="Meiryo" w:hAnsi="Meiryo" w:eastAsia="Meiryo" w:cs="Meiryo"/>
          <w:b w:val="0"/>
          <w:i w:val="0"/>
          <w:color w:val="263238"/>
          <w:sz w:val="21"/>
        </w:rPr>
        <w:t>ア（To）・イ（CC）は、全員に他人のアドレスが見えてしまい、漏えい等に当たり得ます。エ（件名にアドレス）は論外で、最も多くの人にアドレスが露出します。</w:t>
      </w:r>
    </w:p>
    <w:p>
      <w:pPr>
        <w:spacing w:after="0" w:before="0"/>
      </w:pPr>
      <w:r>
        <w:rPr>
          <w:sz w:val="8"/>
        </w:rPr>
      </w:r>
    </w:p>
    <w:p>
      <w:pPr>
        <w:pStyle w:val="Heading2"/>
        <w:pBdr>
          <w:bottom w:val="single" w:sz="6" w:space="3" w:color="D7DEE6"/>
        </w:pBdr>
      </w:pPr>
      <w:r>
        <w:rPr>
          <w:rFonts w:ascii="Meiryo" w:hAnsi="Meiryo" w:eastAsia="Meiryo" w:cs="Meiryo"/>
          <w:b/>
          <w:i w:val="0"/>
          <w:color w:val="16314F"/>
          <w:sz w:val="25"/>
        </w:rPr>
        <w:t>問6　正解：イ（相手のメールアドレスを指定し、権限と期限を限定する）</w:t>
      </w:r>
    </w:p>
    <w:tbl>
      <w:tblPr>
        <w:tblW w:w="9600" w:type="dxa"/>
        <w:jc w:val="left"/>
        <w:tblLayout w:type="fixed"/>
        <w:tblLook w:firstColumn="1" w:firstRow="1" w:lastColumn="0" w:lastRow="0" w:noHBand="0" w:noVBand="1" w:val="04A0"/>
      </w:tblPr>
      <w:tblGrid>
        <w:gridCol w:w="2600"/>
        <w:gridCol w:w="7000"/>
      </w:tblGrid>
      <w:tr>
        <w:tc>
          <w:tcPr>
            <w:tcW w:type="dxa" w:w="26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項目</w:t>
            </w:r>
          </w:p>
        </w:tc>
        <w:tc>
          <w:tcPr>
            <w:tcW w:type="dxa" w:w="70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内容</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この設問のテーマ</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クラウド共有設定</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関係する情報・分類</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個人データ（共有フォルダ内の情報）</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対応スライド</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No.12（クラウド共有）、No.29（社外共有チェック）</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自社で確認すること</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社外共有の方法・権限・期限に関するルールがあるか。</w:t>
            </w:r>
          </w:p>
        </w:tc>
      </w:tr>
    </w:tbl>
    <w:p>
      <w:pPr>
        <w:spacing w:after="0" w:before="0"/>
      </w:pPr>
      <w:r>
        <w:rPr>
          <w:sz w:val="8"/>
        </w:rPr>
      </w:r>
    </w:p>
    <w:p>
      <w:pPr>
        <w:spacing w:after="0" w:before="0"/>
      </w:pPr>
      <w:r>
        <w:rPr>
          <w:sz w:val="4"/>
        </w:rPr>
      </w:r>
    </w:p>
    <w:p>
      <w:pPr>
        <w:spacing w:after="80" w:before="0" w:line="293" w:lineRule="auto"/>
      </w:pPr>
      <w:r>
        <w:rPr>
          <w:rFonts w:ascii="Meiryo" w:hAnsi="Meiryo" w:eastAsia="Meiryo" w:cs="Meiryo"/>
          <w:b w:val="0"/>
          <w:i w:val="0"/>
          <w:color w:val="263238"/>
          <w:sz w:val="21"/>
        </w:rPr>
        <w:t>共有相手は特定の個人（メールアドレス）に限定し、閲覧・編集の権限や期限を絞るのが適切です。</w:t>
      </w:r>
    </w:p>
    <w:p>
      <w:pPr>
        <w:spacing w:after="80" w:before="0" w:line="293" w:lineRule="auto"/>
      </w:pPr>
      <w:r>
        <w:rPr>
          <w:rFonts w:ascii="Meiryo" w:hAnsi="Meiryo" w:eastAsia="Meiryo" w:cs="Meiryo"/>
          <w:b w:val="0"/>
          <w:i w:val="0"/>
          <w:color w:val="263238"/>
          <w:sz w:val="21"/>
        </w:rPr>
        <w:t>ア（リンクを知る全員が閲覧可）・ウ（誰でも編集可）・エ（パスワードなしで公開）は、いずれも意図しない第三者がアクセスできる状態で、漏えい等に当たり得ます。</w:t>
      </w:r>
    </w:p>
    <w:p>
      <w:pPr>
        <w:spacing w:after="0" w:before="0"/>
      </w:pPr>
      <w:r>
        <w:rPr>
          <w:sz w:val="8"/>
        </w:rPr>
      </w:r>
    </w:p>
    <w:p>
      <w:pPr>
        <w:pStyle w:val="Heading2"/>
        <w:pBdr>
          <w:bottom w:val="single" w:sz="6" w:space="3" w:color="D7DEE6"/>
        </w:pBdr>
      </w:pPr>
      <w:r>
        <w:rPr>
          <w:rFonts w:ascii="Meiryo" w:hAnsi="Meiryo" w:eastAsia="Meiryo" w:cs="Meiryo"/>
          <w:b/>
          <w:i w:val="0"/>
          <w:color w:val="16314F"/>
          <w:sz w:val="25"/>
        </w:rPr>
        <w:t>問7　正解：イ（止める・保全する・すぐ報告する）</w:t>
      </w:r>
    </w:p>
    <w:tbl>
      <w:tblPr>
        <w:tblW w:w="9600" w:type="dxa"/>
        <w:jc w:val="left"/>
        <w:tblLayout w:type="fixed"/>
        <w:tblLook w:firstColumn="1" w:firstRow="1" w:lastColumn="0" w:lastRow="0" w:noHBand="0" w:noVBand="1" w:val="04A0"/>
      </w:tblPr>
      <w:tblGrid>
        <w:gridCol w:w="2600"/>
        <w:gridCol w:w="7000"/>
      </w:tblGrid>
      <w:tr>
        <w:tc>
          <w:tcPr>
            <w:tcW w:type="dxa" w:w="26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項目</w:t>
            </w:r>
          </w:p>
        </w:tc>
        <w:tc>
          <w:tcPr>
            <w:tcW w:type="dxa" w:w="70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内容</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この設問のテーマ</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初動の3原則</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関係する情報・分類</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初動対応</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対応スライド</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No.19（してはいけないこと）、No.20（初動フロー）</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自社で確認すること</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事故時の初動手順・報告ルートが明文化されているか。</w:t>
            </w:r>
          </w:p>
        </w:tc>
      </w:tr>
    </w:tbl>
    <w:p>
      <w:pPr>
        <w:spacing w:after="0" w:before="0"/>
      </w:pPr>
      <w:r>
        <w:rPr>
          <w:sz w:val="8"/>
        </w:rPr>
      </w:r>
    </w:p>
    <w:p>
      <w:pPr>
        <w:spacing w:after="0" w:before="0"/>
      </w:pPr>
      <w:r>
        <w:rPr>
          <w:sz w:val="4"/>
        </w:rPr>
      </w:r>
    </w:p>
    <w:p>
      <w:pPr>
        <w:spacing w:after="80" w:before="0" w:line="293" w:lineRule="auto"/>
      </w:pPr>
      <w:r>
        <w:rPr>
          <w:rFonts w:ascii="Meiryo" w:hAnsi="Meiryo" w:eastAsia="Meiryo" w:cs="Meiryo"/>
          <w:b w:val="0"/>
          <w:i w:val="0"/>
          <w:color w:val="263238"/>
          <w:sz w:val="21"/>
        </w:rPr>
        <w:t>事故に気づいたら、追加の送信・共有を止め、証拠を保全し、すぐ社内の報告ルートへ報告します。これが正しい初動です。</w:t>
      </w:r>
    </w:p>
    <w:p>
      <w:pPr>
        <w:spacing w:after="80" w:before="0" w:line="293" w:lineRule="auto"/>
      </w:pPr>
      <w:r>
        <w:rPr>
          <w:rFonts w:ascii="Meiryo" w:hAnsi="Meiryo" w:eastAsia="Meiryo" w:cs="Meiryo"/>
          <w:b w:val="0"/>
          <w:i w:val="0"/>
          <w:color w:val="263238"/>
          <w:sz w:val="21"/>
        </w:rPr>
        <w:t>ア（隠す・消す）は最もやってはいけない対応です。ウ（本人へ謝罪し社内に報告しない）は、対外対応を現場が独断で行ううえ報告を怠っています。エ（自分で原因特定後に報告）は、報告が遅れ、後の期限に影響します。</w:t>
      </w:r>
    </w:p>
    <w:p>
      <w:pPr>
        <w:spacing w:after="0" w:before="0"/>
      </w:pPr>
      <w:r>
        <w:rPr>
          <w:sz w:val="8"/>
        </w:rPr>
      </w:r>
    </w:p>
    <w:p>
      <w:r>
        <w:br w:type="page"/>
      </w:r>
    </w:p>
    <w:p>
      <w:pPr>
        <w:pStyle w:val="Heading1"/>
        <w:pBdr>
          <w:bottom w:val="single" w:sz="10" w:space="3" w:color="B58A3A"/>
        </w:pBdr>
      </w:pPr>
      <w:r>
        <w:rPr>
          <w:rFonts w:ascii="Meiryo" w:hAnsi="Meiryo" w:eastAsia="Meiryo" w:cs="Meiryo"/>
          <w:b/>
          <w:i w:val="0"/>
          <w:color w:val="16314F"/>
          <w:sz w:val="30"/>
        </w:rPr>
        <w:t>第3部　ケース判断問題（模範解答）</w:t>
      </w:r>
    </w:p>
    <w:p>
      <w:pPr>
        <w:pStyle w:val="Heading2"/>
        <w:pBdr>
          <w:bottom w:val="single" w:sz="6" w:space="3" w:color="D7DEE6"/>
        </w:pBdr>
      </w:pPr>
      <w:r>
        <w:rPr>
          <w:rFonts w:ascii="Meiryo" w:hAnsi="Meiryo" w:eastAsia="Meiryo" w:cs="Meiryo"/>
          <w:b/>
          <w:i w:val="0"/>
          <w:color w:val="16314F"/>
          <w:sz w:val="25"/>
        </w:rPr>
        <w:t>問8　正解：適切ではない</w:t>
      </w:r>
    </w:p>
    <w:tbl>
      <w:tblPr>
        <w:tblW w:w="9600" w:type="dxa"/>
        <w:jc w:val="left"/>
        <w:tblLayout w:type="fixed"/>
        <w:tblLook w:firstColumn="1" w:firstRow="1" w:lastColumn="0" w:lastRow="0" w:noHBand="0" w:noVBand="1" w:val="04A0"/>
      </w:tblPr>
      <w:tblGrid>
        <w:gridCol w:w="2600"/>
        <w:gridCol w:w="7000"/>
      </w:tblGrid>
      <w:tr>
        <w:tc>
          <w:tcPr>
            <w:tcW w:type="dxa" w:w="26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項目</w:t>
            </w:r>
          </w:p>
        </w:tc>
        <w:tc>
          <w:tcPr>
            <w:tcW w:type="dxa" w:w="70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内容</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この設問のテーマ</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メール誤送信の初動</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関係する情報・分類</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個人データ（顧客リスト）</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対応スライド</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No.3・No.31（メール誤送信のケース）、No.19、No.24（本人連絡を独断しない）</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自社で確認すること</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誤送信時の回収依頼・報告ルートが定められているか。</w:t>
            </w:r>
          </w:p>
        </w:tc>
      </w:tr>
    </w:tbl>
    <w:p>
      <w:pPr>
        <w:spacing w:after="0" w:before="0"/>
      </w:pPr>
      <w:r>
        <w:rPr>
          <w:sz w:val="8"/>
        </w:rPr>
      </w:r>
    </w:p>
    <w:p>
      <w:pPr>
        <w:spacing w:after="0" w:before="0"/>
      </w:pPr>
      <w:r>
        <w:rPr>
          <w:sz w:val="4"/>
        </w:rPr>
      </w:r>
    </w:p>
    <w:p>
      <w:pPr>
        <w:spacing w:after="80" w:before="0" w:line="293" w:lineRule="auto"/>
      </w:pPr>
      <w:r>
        <w:rPr>
          <w:rFonts w:ascii="Meiryo" w:hAnsi="Meiryo" w:eastAsia="Meiryo" w:cs="Meiryo"/>
          <w:b w:val="0"/>
          <w:i w:val="0"/>
          <w:color w:val="263238"/>
          <w:sz w:val="21"/>
        </w:rPr>
        <w:t>相手の個人携帯に独断で連絡し「見ずに削除して」と私的に頼むのは適切ではありません。口裏合わせと受け取られ、事故をなかったことにはできません。</w:t>
      </w:r>
    </w:p>
    <w:p>
      <w:pPr>
        <w:spacing w:after="80" w:before="0" w:line="293" w:lineRule="auto"/>
      </w:pPr>
      <w:r>
        <w:rPr>
          <w:rFonts w:ascii="Meiryo" w:hAnsi="Meiryo" w:eastAsia="Meiryo" w:cs="Meiryo"/>
          <w:b w:val="0"/>
          <w:i w:val="0"/>
          <w:color w:val="263238"/>
          <w:sz w:val="21"/>
        </w:rPr>
        <w:t>正しい初動は、まず追加送信を止め、送信記録・宛先・添付を保全し、上長と個人情報保護担当へすぐ報告することです。送信取消や回収依頼は、社内の報告ルートに乗せて行います。</w:t>
      </w:r>
    </w:p>
    <w:p>
      <w:pPr>
        <w:spacing w:after="0" w:before="0"/>
      </w:pPr>
      <w:r>
        <w:rPr>
          <w:sz w:val="8"/>
        </w:rPr>
      </w:r>
    </w:p>
    <w:p>
      <w:pPr>
        <w:pStyle w:val="Heading2"/>
        <w:pBdr>
          <w:bottom w:val="single" w:sz="6" w:space="3" w:color="D7DEE6"/>
        </w:pBdr>
      </w:pPr>
      <w:r>
        <w:rPr>
          <w:rFonts w:ascii="Meiryo" w:hAnsi="Meiryo" w:eastAsia="Meiryo" w:cs="Meiryo"/>
          <w:b/>
          <w:i w:val="0"/>
          <w:color w:val="16314F"/>
          <w:sz w:val="25"/>
        </w:rPr>
        <w:t>問9　正解：適切ではない</w:t>
      </w:r>
    </w:p>
    <w:tbl>
      <w:tblPr>
        <w:tblW w:w="9600" w:type="dxa"/>
        <w:jc w:val="left"/>
        <w:tblLayout w:type="fixed"/>
        <w:tblLook w:firstColumn="1" w:firstRow="1" w:lastColumn="0" w:lastRow="0" w:noHBand="0" w:noVBand="1" w:val="04A0"/>
      </w:tblPr>
      <w:tblGrid>
        <w:gridCol w:w="2600"/>
        <w:gridCol w:w="7000"/>
      </w:tblGrid>
      <w:tr>
        <w:tc>
          <w:tcPr>
            <w:tcW w:type="dxa" w:w="26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項目</w:t>
            </w:r>
          </w:p>
        </w:tc>
        <w:tc>
          <w:tcPr>
            <w:tcW w:type="dxa" w:w="70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内容</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この設問のテーマ</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報告要否の自己判断</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関係する情報・分類</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個人データ／報告対象事態</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対応スライド</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No.22（報告対象の4類型）、No.24（独断で判断しない）</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自社で確認すること</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報告要否の判断主体（担当部署）と、現場の報告義務が定められているか。</w:t>
            </w:r>
          </w:p>
        </w:tc>
      </w:tr>
    </w:tbl>
    <w:p>
      <w:pPr>
        <w:spacing w:after="0" w:before="0"/>
      </w:pPr>
      <w:r>
        <w:rPr>
          <w:sz w:val="8"/>
        </w:rPr>
      </w:r>
    </w:p>
    <w:p>
      <w:pPr>
        <w:spacing w:after="0" w:before="0"/>
      </w:pPr>
      <w:r>
        <w:rPr>
          <w:sz w:val="4"/>
        </w:rPr>
      </w:r>
    </w:p>
    <w:p>
      <w:pPr>
        <w:spacing w:after="80" w:before="0" w:line="293" w:lineRule="auto"/>
      </w:pPr>
      <w:r>
        <w:rPr>
          <w:rFonts w:ascii="Meiryo" w:hAnsi="Meiryo" w:eastAsia="Meiryo" w:cs="Meiryo"/>
          <w:b w:val="0"/>
          <w:i w:val="0"/>
          <w:color w:val="263238"/>
          <w:sz w:val="21"/>
        </w:rPr>
        <w:t>「1人分だから報告不要」と現場が自分で結論を出すのは適切ではありません。報告・本人通知の要否を最終判断するのは担当部署です。</w:t>
      </w:r>
    </w:p>
    <w:p>
      <w:pPr>
        <w:spacing w:after="80" w:before="0" w:line="293" w:lineRule="auto"/>
      </w:pPr>
      <w:r>
        <w:rPr>
          <w:rFonts w:ascii="Meiryo" w:hAnsi="Meiryo" w:eastAsia="Meiryo" w:cs="Meiryo"/>
          <w:b w:val="0"/>
          <w:i w:val="0"/>
          <w:color w:val="263238"/>
          <w:sz w:val="21"/>
        </w:rPr>
        <w:t>報告対象となり得る事態には、人数の多さ（1,000人超）以外にも、要配慮を含む場合・不正利用による財産的被害のおそれ・不正目的のおそれといった類型があります。人数が少なくても対象になり得るため、まず報告することが必要です。</w:t>
      </w:r>
    </w:p>
    <w:p>
      <w:pPr>
        <w:spacing w:after="0" w:before="0"/>
      </w:pPr>
      <w:r>
        <w:rPr>
          <w:sz w:val="8"/>
        </w:rPr>
      </w:r>
    </w:p>
    <w:p>
      <w:pPr>
        <w:pStyle w:val="Heading2"/>
        <w:pBdr>
          <w:bottom w:val="single" w:sz="6" w:space="3" w:color="D7DEE6"/>
        </w:pBdr>
      </w:pPr>
      <w:r>
        <w:rPr>
          <w:rFonts w:ascii="Meiryo" w:hAnsi="Meiryo" w:eastAsia="Meiryo" w:cs="Meiryo"/>
          <w:b/>
          <w:i w:val="0"/>
          <w:color w:val="16314F"/>
          <w:sz w:val="25"/>
        </w:rPr>
        <w:t>問10　正解：要配慮個人情報が含まれる点に注意し、まず止める・保全する・報告する</w:t>
      </w:r>
    </w:p>
    <w:tbl>
      <w:tblPr>
        <w:tblW w:w="9600" w:type="dxa"/>
        <w:jc w:val="left"/>
        <w:tblLayout w:type="fixed"/>
        <w:tblLook w:firstColumn="1" w:firstRow="1" w:lastColumn="0" w:lastRow="0" w:noHBand="0" w:noVBand="1" w:val="04A0"/>
      </w:tblPr>
      <w:tblGrid>
        <w:gridCol w:w="2600"/>
        <w:gridCol w:w="7000"/>
      </w:tblGrid>
      <w:tr>
        <w:tc>
          <w:tcPr>
            <w:tcW w:type="dxa" w:w="26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項目</w:t>
            </w:r>
          </w:p>
        </w:tc>
        <w:tc>
          <w:tcPr>
            <w:tcW w:type="dxa" w:w="70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内容</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この設問のテーマ</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要配慮を含む誤送信</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関係する情報・分類</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要配慮個人情報（健康上の配慮）＋人事評価</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対応スライド</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No.6、No.33（要配慮を含むケース）、No.19、No.22</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自社で確認すること</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人事・健康情報の取扱いと、誤送信時の対応ルールがあるか。</w:t>
            </w:r>
          </w:p>
        </w:tc>
      </w:tr>
    </w:tbl>
    <w:p>
      <w:pPr>
        <w:spacing w:after="0" w:before="0"/>
      </w:pPr>
      <w:r>
        <w:rPr>
          <w:sz w:val="8"/>
        </w:rPr>
      </w:r>
    </w:p>
    <w:p>
      <w:pPr>
        <w:spacing w:after="0" w:before="0"/>
      </w:pPr>
      <w:r>
        <w:rPr>
          <w:sz w:val="4"/>
        </w:rPr>
      </w:r>
    </w:p>
    <w:p>
      <w:pPr>
        <w:spacing w:after="80" w:before="0" w:line="293" w:lineRule="auto"/>
      </w:pPr>
      <w:r>
        <w:rPr>
          <w:rFonts w:ascii="Meiryo" w:hAnsi="Meiryo" w:eastAsia="Meiryo" w:cs="Meiryo"/>
          <w:b w:val="0"/>
          <w:i w:val="0"/>
          <w:color w:val="263238"/>
          <w:sz w:val="21"/>
        </w:rPr>
        <w:t>この資料には人事評価に加え、健康上の配慮事項という要配慮個人情報に当たり得る情報が含まれます。要配慮を含む漏えい等は、報告対象事態の一類型として特に慎重に扱われます。</w:t>
      </w:r>
    </w:p>
    <w:p>
      <w:pPr>
        <w:spacing w:after="80" w:before="0" w:line="293" w:lineRule="auto"/>
      </w:pPr>
      <w:r>
        <w:rPr>
          <w:rFonts w:ascii="Meiryo" w:hAnsi="Meiryo" w:eastAsia="Meiryo" w:cs="Meiryo"/>
          <w:b w:val="0"/>
          <w:i w:val="0"/>
          <w:color w:val="263238"/>
          <w:sz w:val="21"/>
        </w:rPr>
        <w:t>まず追加の転送を止め、誤送信メールと宛先を保全し、上長と個人情報保護担当へすぐ報告します。受信者への削除依頼も社内ルートで行い、本人への連絡は担当部署の判断に従います。</w:t>
      </w:r>
    </w:p>
    <w:p>
      <w:pPr>
        <w:spacing w:after="0" w:before="0"/>
      </w:pPr>
      <w:r>
        <w:rPr>
          <w:sz w:val="8"/>
        </w:rPr>
      </w:r>
    </w:p>
    <w:p>
      <w:pPr>
        <w:pStyle w:val="Heading2"/>
        <w:pBdr>
          <w:bottom w:val="single" w:sz="6" w:space="3" w:color="D7DEE6"/>
        </w:pBdr>
      </w:pPr>
      <w:r>
        <w:rPr>
          <w:rFonts w:ascii="Meiryo" w:hAnsi="Meiryo" w:eastAsia="Meiryo" w:cs="Meiryo"/>
          <w:b/>
          <w:i w:val="0"/>
          <w:color w:val="16314F"/>
          <w:sz w:val="25"/>
        </w:rPr>
        <w:t>問11　正解：その考え方は適切ではない</w:t>
      </w:r>
    </w:p>
    <w:tbl>
      <w:tblPr>
        <w:tblW w:w="9600" w:type="dxa"/>
        <w:jc w:val="left"/>
        <w:tblLayout w:type="fixed"/>
        <w:tblLook w:firstColumn="1" w:firstRow="1" w:lastColumn="0" w:lastRow="0" w:noHBand="0" w:noVBand="1" w:val="04A0"/>
      </w:tblPr>
      <w:tblGrid>
        <w:gridCol w:w="2600"/>
        <w:gridCol w:w="7000"/>
      </w:tblGrid>
      <w:tr>
        <w:tc>
          <w:tcPr>
            <w:tcW w:type="dxa" w:w="26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項目</w:t>
            </w:r>
          </w:p>
        </w:tc>
        <w:tc>
          <w:tcPr>
            <w:tcW w:type="dxa" w:w="70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内容</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この設問のテーマ</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USB紛失と暗号化</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関係する情報・分類</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個人データ（USB内）／滅失・漏えいのおそれ</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対応スライド</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No.15（USB・端末）、No.21、No.22</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自社で確認すること</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USB・端末の暗号化・持出し・管理のルールがあるか。</w:t>
            </w:r>
          </w:p>
        </w:tc>
      </w:tr>
    </w:tbl>
    <w:p>
      <w:pPr>
        <w:spacing w:after="0" w:before="0"/>
      </w:pPr>
      <w:r>
        <w:rPr>
          <w:sz w:val="8"/>
        </w:rPr>
      </w:r>
    </w:p>
    <w:p>
      <w:pPr>
        <w:spacing w:after="0" w:before="0"/>
      </w:pPr>
      <w:r>
        <w:rPr>
          <w:sz w:val="4"/>
        </w:rPr>
      </w:r>
    </w:p>
    <w:p>
      <w:pPr>
        <w:spacing w:after="80" w:before="0" w:line="293" w:lineRule="auto"/>
      </w:pPr>
      <w:r>
        <w:rPr>
          <w:rFonts w:ascii="Meiryo" w:hAnsi="Meiryo" w:eastAsia="Meiryo" w:cs="Meiryo"/>
          <w:b w:val="0"/>
          <w:i w:val="0"/>
          <w:color w:val="263238"/>
          <w:sz w:val="21"/>
        </w:rPr>
        <w:t>中身や暗号化の有無がはっきりしないのに「たぶん大丈夫」と自己判断するのは適切ではありません。不確かなときは、漏えい等のおそれがある前提で、まず報告します。</w:t>
      </w:r>
    </w:p>
    <w:p>
      <w:pPr>
        <w:spacing w:after="80" w:before="0" w:line="293" w:lineRule="auto"/>
      </w:pPr>
      <w:r>
        <w:rPr>
          <w:rFonts w:ascii="Meiryo" w:hAnsi="Meiryo" w:eastAsia="Meiryo" w:cs="Meiryo"/>
          <w:b w:val="0"/>
          <w:i w:val="0"/>
          <w:color w:val="263238"/>
          <w:sz w:val="21"/>
        </w:rPr>
        <w:t>高度な暗号化等で第三者が内容を見られない場合に報告対象とならないこともありますが、それを判断するのは担当部署です。現場が「暗号化したから報告不要」と最終判断してはいけません。</w:t>
      </w:r>
    </w:p>
    <w:p>
      <w:pPr>
        <w:spacing w:after="0" w:before="0"/>
      </w:pPr>
      <w:r>
        <w:rPr>
          <w:sz w:val="8"/>
        </w:rPr>
      </w:r>
    </w:p>
    <w:p>
      <w:pPr>
        <w:pStyle w:val="Heading2"/>
        <w:pBdr>
          <w:bottom w:val="single" w:sz="6" w:space="3" w:color="D7DEE6"/>
        </w:pBdr>
      </w:pPr>
      <w:r>
        <w:rPr>
          <w:rFonts w:ascii="Meiryo" w:hAnsi="Meiryo" w:eastAsia="Meiryo" w:cs="Meiryo"/>
          <w:b/>
          <w:i w:val="0"/>
          <w:color w:val="16314F"/>
          <w:sz w:val="25"/>
        </w:rPr>
        <w:t>問12　正解：適切ではない</w:t>
      </w:r>
    </w:p>
    <w:tbl>
      <w:tblPr>
        <w:tblW w:w="9600" w:type="dxa"/>
        <w:jc w:val="left"/>
        <w:tblLayout w:type="fixed"/>
        <w:tblLook w:firstColumn="1" w:firstRow="1" w:lastColumn="0" w:lastRow="0" w:noHBand="0" w:noVBand="1" w:val="04A0"/>
      </w:tblPr>
      <w:tblGrid>
        <w:gridCol w:w="2600"/>
        <w:gridCol w:w="7000"/>
      </w:tblGrid>
      <w:tr>
        <w:tc>
          <w:tcPr>
            <w:tcW w:type="dxa" w:w="26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項目</w:t>
            </w:r>
          </w:p>
        </w:tc>
        <w:tc>
          <w:tcPr>
            <w:tcW w:type="dxa" w:w="70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内容</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この設問のテーマ</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委託先事故への対応</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関係する情報・分類</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個人データ（顧客データ）／委託先の事故</w:t>
            </w:r>
          </w:p>
        </w:tc>
      </w:tr>
      <w:tr>
        <w:tc>
          <w:tcPr>
            <w:tcW w:type="dxa" w:w="2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対応スライド</w:t>
            </w:r>
          </w:p>
        </w:tc>
        <w:tc>
          <w:tcPr>
            <w:tcW w:type="dxa" w:w="7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No.25（委託先の事故）</w:t>
            </w:r>
          </w:p>
        </w:tc>
      </w:tr>
      <w:tr>
        <w:tc>
          <w:tcPr>
            <w:tcW w:type="dxa" w:w="2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自社で確認すること</w:t>
            </w:r>
          </w:p>
        </w:tc>
        <w:tc>
          <w:tcPr>
            <w:tcW w:type="dxa" w:w="7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委託先の監督・事故時の報告ルート・契約上の取り決めがあるか。</w:t>
            </w:r>
          </w:p>
        </w:tc>
      </w:tr>
    </w:tbl>
    <w:p>
      <w:pPr>
        <w:spacing w:after="0" w:before="0"/>
      </w:pPr>
      <w:r>
        <w:rPr>
          <w:sz w:val="8"/>
        </w:rPr>
      </w:r>
    </w:p>
    <w:p>
      <w:pPr>
        <w:spacing w:after="0" w:before="0"/>
      </w:pPr>
      <w:r>
        <w:rPr>
          <w:sz w:val="4"/>
        </w:rPr>
      </w:r>
    </w:p>
    <w:p>
      <w:pPr>
        <w:spacing w:after="80" w:before="0" w:line="293" w:lineRule="auto"/>
      </w:pPr>
      <w:r>
        <w:rPr>
          <w:rFonts w:ascii="Meiryo" w:hAnsi="Meiryo" w:eastAsia="Meiryo" w:cs="Meiryo"/>
          <w:b w:val="0"/>
          <w:i w:val="0"/>
          <w:color w:val="263238"/>
          <w:sz w:val="21"/>
        </w:rPr>
        <w:t>「委託先の事故だから自社は報告不要」という考えは適切ではありません。個人データの取扱いを委託している場合でも、委託元には委託先を監督する立場があります。</w:t>
      </w:r>
    </w:p>
    <w:p>
      <w:pPr>
        <w:spacing w:after="80" w:before="0" w:line="293" w:lineRule="auto"/>
      </w:pPr>
      <w:r>
        <w:rPr>
          <w:rFonts w:ascii="Meiryo" w:hAnsi="Meiryo" w:eastAsia="Meiryo" w:cs="Meiryo"/>
          <w:b w:val="0"/>
          <w:i w:val="0"/>
          <w:color w:val="263238"/>
          <w:sz w:val="21"/>
        </w:rPr>
        <w:t>事故を把握したら、自社内の報告ルートへ速やかに報告し、委託先と連携して事実確認・初動を進めます。報告・通知を委託元と委託先のどちらが行うかも含め、対応は担当部署が判断します。</w:t>
      </w:r>
    </w:p>
    <w:p>
      <w:pPr>
        <w:spacing w:after="0" w:before="0"/>
      </w:pPr>
      <w:r>
        <w:rPr>
          <w:sz w:val="8"/>
        </w:rPr>
      </w:r>
    </w:p>
    <w:p>
      <w:pPr>
        <w:spacing w:after="0" w:before="0"/>
      </w:pPr>
      <w:r>
        <w:rPr>
          <w:sz w:val="8"/>
        </w:rPr>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B58A3A"/>
              <w:start w:val="single" w:sz="4" w:space="0" w:color="B58A3A"/>
              <w:bottom w:val="single" w:sz="4" w:space="0" w:color="B58A3A"/>
              <w:end w:val="single" w:sz="4" w:space="0" w:color="B58A3A"/>
            </w:tcBorders>
            <w:shd w:val="clear" w:color="auto" w:fill="F6EEDD"/>
            <w:tcMar>
              <w:top w:w="90" w:type="dxa"/>
              <w:start w:w="150" w:type="dxa"/>
              <w:bottom w:w="90" w:type="dxa"/>
              <w:end w:w="150" w:type="dxa"/>
            </w:tcMar>
          </w:tcPr>
          <w:p>
            <w:pPr>
              <w:spacing w:after="40" w:line="278" w:lineRule="auto"/>
            </w:pPr>
            <w:r/>
            <w:r>
              <w:rPr>
                <w:rFonts w:ascii="Meiryo" w:hAnsi="Meiryo" w:eastAsia="Meiryo" w:cs="Meiryo"/>
                <w:b/>
                <w:i w:val="0"/>
                <w:color w:val="B58A3A"/>
                <w:sz w:val="22"/>
              </w:rPr>
              <w:t>解説のまとめ</w:t>
            </w:r>
          </w:p>
          <w:p>
            <w:pPr>
              <w:spacing w:after="40" w:line="283" w:lineRule="auto"/>
            </w:pPr>
            <w:r>
              <w:rPr>
                <w:rFonts w:ascii="Meiryo" w:hAnsi="Meiryo" w:eastAsia="Meiryo" w:cs="Meiryo"/>
                <w:b w:val="0"/>
                <w:i w:val="0"/>
                <w:color w:val="263238"/>
                <w:sz w:val="20"/>
              </w:rPr>
              <w:t>共通するのは「自己判断で隠さない・消さない」「迷ったらまず報告」「要否の最終判断は担当部署」という3点です。</w:t>
            </w:r>
          </w:p>
          <w:p>
            <w:pPr>
              <w:spacing w:after="40" w:line="283" w:lineRule="auto"/>
            </w:pPr>
            <w:r>
              <w:rPr>
                <w:rFonts w:ascii="Meiryo" w:hAnsi="Meiryo" w:eastAsia="Meiryo" w:cs="Meiryo"/>
                <w:b w:val="0"/>
                <w:i w:val="0"/>
                <w:color w:val="263238"/>
                <w:sz w:val="20"/>
              </w:rPr>
              <w:t>個別の事案では、本解説をそのまま当てはめず、自社の規程と担当部署の判断に従ってください。</w:t>
            </w:r>
          </w:p>
        </w:tc>
      </w:tr>
    </w:tbl>
    <w:p>
      <w:pPr>
        <w:spacing w:after="0" w:before="0"/>
      </w:pPr>
      <w:r>
        <w:rPr>
          <w:sz w:val="8"/>
        </w:rPr>
      </w:r>
    </w:p>
    <w:p>
      <w:pPr>
        <w:spacing w:after="40" w:before="0" w:line="288" w:lineRule="auto"/>
      </w:pPr>
      <w:r>
        <w:rPr>
          <w:rFonts w:ascii="Meiryo" w:hAnsi="Meiryo" w:eastAsia="Meiryo" w:cs="Meiryo"/>
          <w:b w:val="0"/>
          <w:i w:val="0"/>
          <w:color w:val="64748B"/>
          <w:sz w:val="19"/>
        </w:rPr>
        <w:t>本解説は令和2年改正個人情報保護法（施行済み）の内容に基づきます。報告対象事態は規則7条、報告期限（速報・確報）は規則8条、委員会報告・本人通知は法26条1項・2項に定めがあります。</w:t>
      </w:r>
    </w:p>
    <w:sectPr w:rsidR="00FC693F" w:rsidRPr="0006063C" w:rsidSect="00034616">
      <w:footerReference w:type="default" r:id="rId9"/>
      <w:pgSz w:w="11906" w:h="16838"/>
      <w:pgMar w:top="1247" w:right="1134" w:bottom="1020" w:left="1134" w:header="68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800" w:val="center"/>
        <w:tab w:pos="9600" w:val="right"/>
      </w:tabs>
    </w:pPr>
    <w:r/>
    <w:r>
      <w:rPr>
        <w:rFonts w:ascii="Meiryo" w:hAnsi="Meiryo" w:eastAsia="Meiryo" w:cs="Meiryo"/>
        <w:color w:val="64748B"/>
        <w:sz w:val="16"/>
      </w:rPr>
      <w:tab/>
      <w:t>Legal GPT  ｜  第9回 個人情報保護研修</w:t>
      <w:tab/>
    </w:r>
    <w:r>
      <w:rPr>
        <w:sz w:val="16"/>
        <w:color w:val="64748B"/>
      </w:rPr>
      <w:fldChar w:fldCharType="begin"/>
    </w:r>
    <w:r>
      <w:rPr>
        <w:sz w:val="16"/>
      </w:rPr>
      <w:instrText xml:space="preserve"> PAGE </w:instrText>
    </w:r>
    <w:r>
      <w:rPr>
        <w:sz w:val="16"/>
        <w:color w:val="64748B"/>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ascii="Meiryo" w:hAnsi="Meiryo" w:eastAsia="Meiryo" w:cs="Meiryo"/>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Rule="auto" w:line="293" w:after="80"/>
    </w:pPr>
    <w:rPr>
      <w:rFonts w:ascii="Meiryo" w:hAnsi="Meiryo" w:eastAsia="Meiryo" w:cs="Meiryo"/>
      <w:color w:val="26323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Meiryo" w:hAnsi="Meiryo" w:eastAsia="Meiryo" w:cs="Meiryo"/>
      <w:b/>
      <w:bCs/>
      <w:color w:val="16314F"/>
      <w:sz w:val="30"/>
      <w:szCs w:val="28"/>
    </w:rPr>
  </w:style>
  <w:style w:type="paragraph" w:styleId="Heading2">
    <w:name w:val="heading 2"/>
    <w:basedOn w:val="Normal"/>
    <w:next w:val="Normal"/>
    <w:link w:val="Heading2Char"/>
    <w:uiPriority w:val="9"/>
    <w:unhideWhenUsed/>
    <w:qFormat/>
    <w:rsid w:val="00FC693F"/>
    <w:pPr>
      <w:keepNext/>
      <w:keepLines/>
      <w:spacing w:before="220" w:after="60"/>
      <w:outlineLvl w:val="1"/>
    </w:pPr>
    <w:rPr>
      <w:rFonts w:asciiTheme="majorHAnsi" w:eastAsiaTheme="majorEastAsia" w:hAnsiTheme="majorHAnsi" w:cstheme="majorBidi" w:ascii="Meiryo" w:hAnsi="Meiryo" w:eastAsia="Meiryo" w:cs="Meiryo"/>
      <w:b/>
      <w:bCs/>
      <w:color w:val="16314F"/>
      <w:sz w:val="25"/>
      <w:szCs w:val="26"/>
    </w:rPr>
  </w:style>
  <w:style w:type="paragraph" w:styleId="Heading3">
    <w:name w:val="heading 3"/>
    <w:basedOn w:val="Normal"/>
    <w:next w:val="Normal"/>
    <w:link w:val="Heading3Char"/>
    <w:uiPriority w:val="9"/>
    <w:unhideWhenUsed/>
    <w:qFormat/>
    <w:rsid w:val="00FC693F"/>
    <w:pPr>
      <w:keepNext/>
      <w:keepLines/>
      <w:spacing w:before="160" w:after="40"/>
      <w:outlineLvl w:val="2"/>
    </w:pPr>
    <w:rPr>
      <w:rFonts w:asciiTheme="majorHAnsi" w:eastAsiaTheme="majorEastAsia" w:hAnsiTheme="majorHAnsi" w:cstheme="majorBidi" w:ascii="Meiryo" w:hAnsi="Meiryo" w:eastAsia="Meiryo" w:cs="Meiryo"/>
      <w:b/>
      <w:bCs/>
      <w:color w:val="243B5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Meiryo" w:hAnsi="Meiryo" w:eastAsia="Meiryo" w:cs="Meiryo"/>
      <w:color w:val="263238"/>
      <w:sz w:val="21"/>
    </w:rPr>
  </w:style>
  <w:style w:type="paragraph" w:styleId="ListBullet2">
    <w:name w:val="List Bullet 2"/>
    <w:basedOn w:val="Normal"/>
    <w:uiPriority w:val="99"/>
    <w:unhideWhenUsed/>
    <w:rsid w:val="00326F90"/>
    <w:pPr>
      <w:numPr>
        <w:numId w:val="2"/>
      </w:numPr>
      <w:contextualSpacing/>
    </w:pPr>
    <w:rPr>
      <w:rFonts w:ascii="Meiryo" w:hAnsi="Meiryo" w:eastAsia="Meiryo" w:cs="Meiryo"/>
      <w:color w:val="263238"/>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Meiryo" w:hAnsi="Meiryo" w:eastAsia="Meiryo" w:cs="Meiryo"/>
      <w:color w:val="263238"/>
      <w:sz w:val="21"/>
    </w:rPr>
  </w:style>
  <w:style w:type="paragraph" w:styleId="ListNumber2">
    <w:name w:val="List Number 2"/>
    <w:basedOn w:val="Normal"/>
    <w:uiPriority w:val="99"/>
    <w:unhideWhenUsed/>
    <w:rsid w:val="0029639D"/>
    <w:pPr>
      <w:numPr>
        <w:numId w:val="6"/>
      </w:numPr>
      <w:contextualSpacing/>
    </w:pPr>
    <w:rPr>
      <w:rFonts w:ascii="Meiryo" w:hAnsi="Meiryo" w:eastAsia="Meiryo" w:cs="Meiryo"/>
      <w:color w:val="263238"/>
      <w:sz w:val="21"/>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