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40" w:line="293" w:lineRule="auto"/>
      </w:pPr>
      <w:r>
        <w:rPr>
          <w:rFonts w:ascii="Meiryo" w:hAnsi="Meiryo" w:eastAsia="Meiryo" w:cs="Meiryo"/>
          <w:b/>
          <w:i w:val="0"/>
          <w:color w:val="B58A3A"/>
          <w:sz w:val="21"/>
        </w:rPr>
        <w:t>法務・総務のための社内研修資料20選　｜　第9回 個人情報保護研修</w:t>
      </w:r>
    </w:p>
    <w:p>
      <w:pPr>
        <w:spacing w:after="0"/>
      </w:pPr>
      <w:r>
        <w:rPr>
          <w:rFonts w:ascii="Meiryo" w:hAnsi="Meiryo" w:eastAsia="Meiryo" w:cs="Meiryo"/>
          <w:b/>
          <w:i w:val="0"/>
          <w:color w:val="16314F"/>
          <w:sz w:val="52"/>
        </w:rPr>
        <w:t>個人情報漏えい等</w:t>
      </w:r>
    </w:p>
    <w:p>
      <w:pPr>
        <w:spacing w:after="80"/>
      </w:pPr>
      <w:r>
        <w:rPr>
          <w:rFonts w:ascii="Meiryo" w:hAnsi="Meiryo" w:eastAsia="Meiryo" w:cs="Meiryo"/>
          <w:b/>
          <w:i w:val="0"/>
          <w:color w:val="16314F"/>
          <w:sz w:val="52"/>
        </w:rPr>
        <w:t>初動対応・事故報告ツールキット</w:t>
      </w:r>
    </w:p>
    <w:p>
      <w:pPr>
        <w:spacing w:after="160" w:before="0" w:line="293" w:lineRule="auto"/>
      </w:pPr>
      <w:r>
        <w:rPr>
          <w:rFonts w:ascii="Meiryo" w:hAnsi="Meiryo" w:eastAsia="Meiryo" w:cs="Meiryo"/>
          <w:b w:val="0"/>
          <w:i w:val="0"/>
          <w:color w:val="243B53"/>
          <w:sz w:val="24"/>
        </w:rPr>
        <w:t>メール誤送信・持出し・紛失・クラウド共有事故に気づいたら、隠さず・消さず・すぐ報告するための実務書式集</w:t>
      </w:r>
    </w:p>
    <w:p>
      <w:pPr>
        <w:pBdr>
          <w:bottom w:val="single" w:sz="12" w:space="1" w:color="B58A3A"/>
        </w:pBdr>
        <w:spacing w:before="40" w:after="120"/>
      </w:pPr>
    </w:p>
    <w:p>
      <w:pPr>
        <w:spacing w:after="40" w:before="0" w:line="293" w:lineRule="auto"/>
      </w:pPr>
      <w:r>
        <w:rPr>
          <w:rFonts w:ascii="Meiryo" w:hAnsi="Meiryo" w:eastAsia="Meiryo" w:cs="Meiryo"/>
          <w:b w:val="0"/>
          <w:i w:val="0"/>
          <w:color w:val="64748B"/>
          <w:sz w:val="19"/>
        </w:rPr>
        <w:t>法令・制度基準日：2026年6月18日（令和2年改正個人情報保護法・施行済みの内容に基づく）</w:t>
      </w:r>
    </w:p>
    <w:p>
      <w:pPr>
        <w:spacing w:after="200" w:before="0" w:line="293" w:lineRule="auto"/>
      </w:pPr>
      <w:r>
        <w:rPr>
          <w:rFonts w:ascii="Meiryo" w:hAnsi="Meiryo" w:eastAsia="Meiryo" w:cs="Meiryo"/>
          <w:b w:val="0"/>
          <w:i w:val="0"/>
          <w:color w:val="64748B"/>
          <w:sz w:val="19"/>
        </w:rPr>
        <w:t>対象：全社員・管理職・人事・総務・法務・情報システム・委託先管理担当　／　Legal GPT 社内研修資料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B42318"/>
              <w:start w:val="single" w:sz="4" w:space="0" w:color="B42318"/>
              <w:bottom w:val="single" w:sz="4" w:space="0" w:color="B42318"/>
              <w:end w:val="single" w:sz="4" w:space="0" w:color="B42318"/>
            </w:tcBorders>
            <w:shd w:val="clear" w:color="auto" w:fill="FBEAE8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B42318"/>
                <w:sz w:val="22"/>
              </w:rPr>
              <w:t>このツールキットの大前提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個人データの漏えい等が「報告・本人通知の対象になり得るか」を最終判断するのは、個人情報保護担当・法務などの担当部署です。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現場の役割は、①被害拡大を止め、②証拠を保全し、③速やかに社内へ報告することです。報告の遅れが、後の期限（速報・確報）に直結します。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pStyle w:val="Heading2"/>
        <w:pBdr>
          <w:bottom w:val="single" w:sz="6" w:space="3" w:color="D7DEE6"/>
        </w:pBdr>
      </w:pPr>
      <w:r>
        <w:rPr>
          <w:rFonts w:ascii="Meiryo" w:hAnsi="Meiryo" w:eastAsia="Meiryo" w:cs="Meiryo"/>
          <w:b/>
          <w:i w:val="0"/>
          <w:color w:val="16314F"/>
          <w:sz w:val="25"/>
        </w:rPr>
        <w:t>本ツールキットの構成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1300"/>
        <w:gridCol w:w="3500"/>
        <w:gridCol w:w="4800"/>
      </w:tblGrid>
      <w:tr>
        <w:tc>
          <w:tcPr>
            <w:tcW w:type="dxa" w:w="1300"/>
            <w:tcBorders>
              <w:top w:val="single" w:sz="4" w:space="0" w:color="16314F"/>
              <w:start w:val="single" w:sz="4" w:space="0" w:color="16314F"/>
              <w:bottom w:val="single" w:sz="4" w:space="0" w:color="16314F"/>
              <w:end w:val="single" w:sz="4" w:space="0" w:color="16314F"/>
            </w:tcBorders>
            <w:shd w:val="clear" w:color="auto" w:fill="16314F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</w:p>
        </w:tc>
        <w:tc>
          <w:tcPr>
            <w:tcW w:type="dxa" w:w="3500"/>
            <w:tcBorders>
              <w:top w:val="single" w:sz="4" w:space="0" w:color="16314F"/>
              <w:start w:val="single" w:sz="4" w:space="0" w:color="16314F"/>
              <w:bottom w:val="single" w:sz="4" w:space="0" w:color="16314F"/>
              <w:end w:val="single" w:sz="4" w:space="0" w:color="16314F"/>
            </w:tcBorders>
            <w:shd w:val="clear" w:color="auto" w:fill="16314F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0"/>
              </w:rPr>
              <w:t>パート</w:t>
            </w:r>
          </w:p>
        </w:tc>
        <w:tc>
          <w:tcPr>
            <w:tcW w:type="dxa" w:w="4800"/>
            <w:tcBorders>
              <w:top w:val="single" w:sz="4" w:space="0" w:color="16314F"/>
              <w:start w:val="single" w:sz="4" w:space="0" w:color="16314F"/>
              <w:bottom w:val="single" w:sz="4" w:space="0" w:color="16314F"/>
              <w:end w:val="single" w:sz="4" w:space="0" w:color="16314F"/>
            </w:tcBorders>
            <w:shd w:val="clear" w:color="auto" w:fill="16314F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13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第1部</w:t>
            </w:r>
          </w:p>
        </w:tc>
        <w:tc>
          <w:tcPr>
            <w:tcW w:type="dxa" w:w="3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漏えい等に気づいたときの初動フロー</w:t>
            </w:r>
          </w:p>
        </w:tc>
        <w:tc>
          <w:tcPr>
            <w:tcW w:type="dxa" w:w="48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気づいた瞬間に何を止め、何を保存し、誰へ報告するか</w:t>
            </w:r>
          </w:p>
        </w:tc>
      </w:tr>
      <w:tr>
        <w:tc>
          <w:tcPr>
            <w:tcW w:type="dxa" w:w="13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第2部</w:t>
            </w:r>
          </w:p>
        </w:tc>
        <w:tc>
          <w:tcPr>
            <w:tcW w:type="dxa" w:w="3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事故報告・初動記録シート</w:t>
            </w:r>
          </w:p>
        </w:tc>
        <w:tc>
          <w:tcPr>
            <w:tcW w:type="dxa" w:w="48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発見・発生・対象情報・初動対応を時系列で記録する書式</w:t>
            </w:r>
          </w:p>
        </w:tc>
      </w:tr>
      <w:tr>
        <w:tc>
          <w:tcPr>
            <w:tcW w:type="dxa" w:w="13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第3部</w:t>
            </w:r>
          </w:p>
        </w:tc>
        <w:tc>
          <w:tcPr>
            <w:tcW w:type="dxa" w:w="3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委員会報告・本人通知の可能性チェック</w:t>
            </w:r>
          </w:p>
        </w:tc>
        <w:tc>
          <w:tcPr>
            <w:tcW w:type="dxa" w:w="48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4類型・期限の目安・判断者を確認する（最終判断は担当部署）</w:t>
            </w:r>
          </w:p>
        </w:tc>
      </w:tr>
      <w:tr>
        <w:tc>
          <w:tcPr>
            <w:tcW w:type="dxa" w:w="13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第4部</w:t>
            </w:r>
          </w:p>
        </w:tc>
        <w:tc>
          <w:tcPr>
            <w:tcW w:type="dxa" w:w="3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再発防止・是正措置シート</w:t>
            </w:r>
          </w:p>
        </w:tc>
        <w:tc>
          <w:tcPr>
            <w:tcW w:type="dxa" w:w="48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原因の構造化と、見直し・責任者・期限の管理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spacing w:after="80" w:before="0" w:line="288" w:lineRule="auto"/>
      </w:pPr>
      <w:r>
        <w:rPr>
          <w:rFonts w:ascii="Meiryo" w:hAnsi="Meiryo" w:eastAsia="Meiryo" w:cs="Meiryo"/>
          <w:b w:val="0"/>
          <w:i w:val="0"/>
          <w:color w:val="64748B"/>
          <w:sz w:val="19"/>
        </w:rPr>
        <w:t>本ツールキットは社内研修・自己点検用のひな形です。実際の運用では、自社の個人情報取扱規程・事故報告ルートに合わせて差し替えてください。法的な自動判定表ではありません。</w:t>
      </w:r>
    </w:p>
    <w:p>
      <w:r>
        <w:br w:type="page"/>
      </w:r>
    </w:p>
    <w:p>
      <w:pPr>
        <w:pStyle w:val="Heading1"/>
        <w:pBdr>
          <w:bottom w:val="single" w:sz="10" w:space="3" w:color="B58A3A"/>
        </w:pBdr>
      </w:pPr>
      <w:r>
        <w:rPr>
          <w:rFonts w:ascii="Meiryo" w:hAnsi="Meiryo" w:eastAsia="Meiryo" w:cs="Meiryo"/>
          <w:b/>
          <w:i w:val="0"/>
          <w:color w:val="16314F"/>
          <w:sz w:val="30"/>
        </w:rPr>
        <w:t>第1部　漏えい等に気づいたときの初動フロー</w:t>
      </w:r>
    </w:p>
    <w:p>
      <w:pPr>
        <w:spacing w:after="120" w:before="0" w:line="293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「漏えい・紛失・誤送信かもしれない」と思った時点で、次の流れを上から実行します。①〜⑩は完全な順番ではなく、止める・保全する・報告するを“同時並行で素早く”進めるための目安です。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1050"/>
        <w:gridCol w:w="8550"/>
      </w:tblGrid>
      <w:tr>
        <w:tc>
          <w:tcPr>
            <w:tcW w:type="dxa" w:w="1050"/>
            <w:tcBorders>
              <w:top w:val="single" w:sz="6" w:space="0" w:color="FFFFFF"/>
              <w:start w:val="single" w:sz="6" w:space="0" w:color="FFFFFF"/>
              <w:bottom w:val="single" w:sz="6" w:space="0" w:color="FFFFFF"/>
              <w:end w:val="single" w:sz="6" w:space="0" w:color="FFFFFF"/>
            </w:tcBorders>
            <w:shd w:val="clear" w:color="auto" w:fill="16314F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8"/>
              </w:rPr>
              <w:t>①</w:t>
            </w:r>
          </w:p>
        </w:tc>
        <w:tc>
          <w:tcPr>
            <w:tcW w:type="dxa" w:w="855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" w:line="274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2F6B4F"/>
                <w:sz w:val="18"/>
              </w:rPr>
              <w:t xml:space="preserve">［する］　</w:t>
            </w:r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事故又はそのおそれに気づく</w:t>
            </w:r>
          </w:p>
          <w:p>
            <w:pPr>
              <w:spacing w:after="0" w:line="269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「誤送信したかも」「共有設定が違ったかも」も対象。</w:t>
            </w:r>
          </w:p>
        </w:tc>
      </w:tr>
      <w:tr>
        <w:tc>
          <w:tcPr>
            <w:tcW w:type="dxa" w:w="1050"/>
            <w:tcBorders>
              <w:top w:val="single" w:sz="6" w:space="0" w:color="FFFFFF"/>
              <w:start w:val="single" w:sz="6" w:space="0" w:color="FFFFFF"/>
              <w:bottom w:val="single" w:sz="6" w:space="0" w:color="FFFFFF"/>
              <w:end w:val="single" w:sz="6" w:space="0" w:color="FFFFFF"/>
            </w:tcBorders>
            <w:shd w:val="clear" w:color="auto" w:fill="B423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8"/>
              </w:rPr>
              <w:t>②</w:t>
            </w:r>
          </w:p>
        </w:tc>
        <w:tc>
          <w:tcPr>
            <w:tcW w:type="dxa" w:w="855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BEAE8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" w:line="274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B42318"/>
                <w:sz w:val="18"/>
              </w:rPr>
              <w:t xml:space="preserve">［止める／しない］　</w:t>
            </w:r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自分だけで判断しない</w:t>
            </w:r>
          </w:p>
          <w:p>
            <w:pPr>
              <w:spacing w:after="0" w:line="269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「大丈夫」「バレない」と一人で結論を出さない。</w:t>
            </w:r>
          </w:p>
        </w:tc>
      </w:tr>
      <w:tr>
        <w:tc>
          <w:tcPr>
            <w:tcW w:type="dxa" w:w="1050"/>
            <w:tcBorders>
              <w:top w:val="single" w:sz="6" w:space="0" w:color="FFFFFF"/>
              <w:start w:val="single" w:sz="6" w:space="0" w:color="FFFFFF"/>
              <w:bottom w:val="single" w:sz="6" w:space="0" w:color="FFFFFF"/>
              <w:end w:val="single" w:sz="6" w:space="0" w:color="FFFFFF"/>
            </w:tcBorders>
            <w:shd w:val="clear" w:color="auto" w:fill="B423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8"/>
              </w:rPr>
              <w:t>③</w:t>
            </w:r>
          </w:p>
        </w:tc>
        <w:tc>
          <w:tcPr>
            <w:tcW w:type="dxa" w:w="855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BEAE8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" w:line="274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B42318"/>
                <w:sz w:val="18"/>
              </w:rPr>
              <w:t xml:space="preserve">［止める／しない］　</w:t>
            </w:r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追加送信・追加共有・追加持出しを止める</w:t>
            </w:r>
          </w:p>
          <w:p>
            <w:pPr>
              <w:spacing w:after="0" w:line="269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同じ相手・同じ経路への二次送信を直ちに停止。</w:t>
            </w:r>
          </w:p>
        </w:tc>
      </w:tr>
      <w:tr>
        <w:tc>
          <w:tcPr>
            <w:tcW w:type="dxa" w:w="1050"/>
            <w:tcBorders>
              <w:top w:val="single" w:sz="6" w:space="0" w:color="FFFFFF"/>
              <w:start w:val="single" w:sz="6" w:space="0" w:color="FFFFFF"/>
              <w:bottom w:val="single" w:sz="6" w:space="0" w:color="FFFFFF"/>
              <w:end w:val="single" w:sz="6" w:space="0" w:color="FFFFFF"/>
            </w:tcBorders>
            <w:shd w:val="clear" w:color="auto" w:fill="16314F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8"/>
              </w:rPr>
              <w:t>④</w:t>
            </w:r>
          </w:p>
        </w:tc>
        <w:tc>
          <w:tcPr>
            <w:tcW w:type="dxa" w:w="855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" w:line="274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2F6B4F"/>
                <w:sz w:val="18"/>
              </w:rPr>
              <w:t xml:space="preserve">［する］　</w:t>
            </w:r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可能な範囲でアクセス停止・共有リンク停止・回収依頼</w:t>
            </w:r>
          </w:p>
          <w:p>
            <w:pPr>
              <w:spacing w:after="0" w:line="269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メール送信取消し、共有リンク無効化、返却・回収の依頼。</w:t>
            </w:r>
          </w:p>
        </w:tc>
      </w:tr>
      <w:tr>
        <w:tc>
          <w:tcPr>
            <w:tcW w:type="dxa" w:w="1050"/>
            <w:tcBorders>
              <w:top w:val="single" w:sz="6" w:space="0" w:color="FFFFFF"/>
              <w:start w:val="single" w:sz="6" w:space="0" w:color="FFFFFF"/>
              <w:bottom w:val="single" w:sz="6" w:space="0" w:color="FFFFFF"/>
              <w:end w:val="single" w:sz="6" w:space="0" w:color="FFFFFF"/>
            </w:tcBorders>
            <w:shd w:val="clear" w:color="auto" w:fill="16314F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8"/>
              </w:rPr>
              <w:t>⑤</w:t>
            </w:r>
          </w:p>
        </w:tc>
        <w:tc>
          <w:tcPr>
            <w:tcW w:type="dxa" w:w="855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" w:line="274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2F6B4F"/>
                <w:sz w:val="18"/>
              </w:rPr>
              <w:t xml:space="preserve">［する］　</w:t>
            </w:r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メール・ログ・送信先・共有設定・画面・ファイル名を保存</w:t>
            </w:r>
          </w:p>
          <w:p>
            <w:pPr>
              <w:spacing w:after="0" w:line="269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スクリーンショット等で「いつ・誰に・何を」を残す。</w:t>
            </w:r>
          </w:p>
        </w:tc>
      </w:tr>
      <w:tr>
        <w:tc>
          <w:tcPr>
            <w:tcW w:type="dxa" w:w="1050"/>
            <w:tcBorders>
              <w:top w:val="single" w:sz="6" w:space="0" w:color="FFFFFF"/>
              <w:start w:val="single" w:sz="6" w:space="0" w:color="FFFFFF"/>
              <w:bottom w:val="single" w:sz="6" w:space="0" w:color="FFFFFF"/>
              <w:end w:val="single" w:sz="6" w:space="0" w:color="FFFFFF"/>
            </w:tcBorders>
            <w:shd w:val="clear" w:color="auto" w:fill="B423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8"/>
              </w:rPr>
              <w:t>⑥</w:t>
            </w:r>
          </w:p>
        </w:tc>
        <w:tc>
          <w:tcPr>
            <w:tcW w:type="dxa" w:w="855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BEAE8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" w:line="274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B42318"/>
                <w:sz w:val="18"/>
              </w:rPr>
              <w:t xml:space="preserve">［止める／しない］　</w:t>
            </w:r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証拠を消さない</w:t>
            </w:r>
          </w:p>
          <w:p>
            <w:pPr>
              <w:spacing w:after="0" w:line="269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送信済みメール・ログ・設定を削除・上書き・初期化しない。</w:t>
            </w:r>
          </w:p>
        </w:tc>
      </w:tr>
      <w:tr>
        <w:tc>
          <w:tcPr>
            <w:tcW w:type="dxa" w:w="1050"/>
            <w:tcBorders>
              <w:top w:val="single" w:sz="6" w:space="0" w:color="FFFFFF"/>
              <w:start w:val="single" w:sz="6" w:space="0" w:color="FFFFFF"/>
              <w:bottom w:val="single" w:sz="6" w:space="0" w:color="FFFFFF"/>
              <w:end w:val="single" w:sz="6" w:space="0" w:color="FFFFFF"/>
            </w:tcBorders>
            <w:shd w:val="clear" w:color="auto" w:fill="B42318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8"/>
              </w:rPr>
              <w:t>⑦</w:t>
            </w:r>
          </w:p>
        </w:tc>
        <w:tc>
          <w:tcPr>
            <w:tcW w:type="dxa" w:w="855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BEAE8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" w:line="274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B42318"/>
                <w:sz w:val="18"/>
              </w:rPr>
              <w:t xml:space="preserve">［止める／しない］　</w:t>
            </w:r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相手方へ独断で連絡しない</w:t>
            </w:r>
          </w:p>
          <w:p>
            <w:pPr>
              <w:spacing w:after="0" w:line="269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「見ずに削除して」と私的に頼む等の口裏合わせをしない。</w:t>
            </w:r>
          </w:p>
        </w:tc>
      </w:tr>
      <w:tr>
        <w:tc>
          <w:tcPr>
            <w:tcW w:type="dxa" w:w="1050"/>
            <w:tcBorders>
              <w:top w:val="single" w:sz="6" w:space="0" w:color="FFFFFF"/>
              <w:start w:val="single" w:sz="6" w:space="0" w:color="FFFFFF"/>
              <w:bottom w:val="single" w:sz="6" w:space="0" w:color="FFFFFF"/>
              <w:end w:val="single" w:sz="6" w:space="0" w:color="FFFFFF"/>
            </w:tcBorders>
            <w:shd w:val="clear" w:color="auto" w:fill="16314F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8"/>
              </w:rPr>
              <w:t>⑧</w:t>
            </w:r>
          </w:p>
        </w:tc>
        <w:tc>
          <w:tcPr>
            <w:tcW w:type="dxa" w:w="855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" w:line="274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2F6B4F"/>
                <w:sz w:val="18"/>
              </w:rPr>
              <w:t xml:space="preserve">［する］　</w:t>
            </w:r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上長・個人情報保護担当・法務・総務・情報システムへ報告</w:t>
            </w:r>
          </w:p>
          <w:p>
            <w:pPr>
              <w:spacing w:after="0" w:line="269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定められた報告ルートで、分かっている事実をそのまま伝える。</w:t>
            </w:r>
          </w:p>
        </w:tc>
      </w:tr>
      <w:tr>
        <w:tc>
          <w:tcPr>
            <w:tcW w:type="dxa" w:w="1050"/>
            <w:tcBorders>
              <w:top w:val="single" w:sz="6" w:space="0" w:color="FFFFFF"/>
              <w:start w:val="single" w:sz="6" w:space="0" w:color="FFFFFF"/>
              <w:bottom w:val="single" w:sz="6" w:space="0" w:color="FFFFFF"/>
              <w:end w:val="single" w:sz="6" w:space="0" w:color="FFFFFF"/>
            </w:tcBorders>
            <w:shd w:val="clear" w:color="auto" w:fill="16314F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8"/>
              </w:rPr>
              <w:t>⑨</w:t>
            </w:r>
          </w:p>
        </w:tc>
        <w:tc>
          <w:tcPr>
            <w:tcW w:type="dxa" w:w="855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" w:line="274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2F6B4F"/>
                <w:sz w:val="18"/>
              </w:rPr>
              <w:t xml:space="preserve">［する］　</w:t>
            </w:r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要配慮・財産的被害・不正目的・1,000人超の可能性を確認</w:t>
            </w:r>
          </w:p>
          <w:p>
            <w:pPr>
              <w:spacing w:after="0" w:line="269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4類型に当たり“得る”かを確認し、担当部署へ共有する。</w:t>
            </w:r>
          </w:p>
        </w:tc>
      </w:tr>
      <w:tr>
        <w:tc>
          <w:tcPr>
            <w:tcW w:type="dxa" w:w="1050"/>
            <w:tcBorders>
              <w:top w:val="single" w:sz="6" w:space="0" w:color="FFFFFF"/>
              <w:start w:val="single" w:sz="6" w:space="0" w:color="FFFFFF"/>
              <w:bottom w:val="single" w:sz="6" w:space="0" w:color="FFFFFF"/>
              <w:end w:val="single" w:sz="6" w:space="0" w:color="FFFFFF"/>
            </w:tcBorders>
            <w:shd w:val="clear" w:color="auto" w:fill="16314F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8"/>
              </w:rPr>
              <w:t>⑩</w:t>
            </w:r>
          </w:p>
        </w:tc>
        <w:tc>
          <w:tcPr>
            <w:tcW w:type="dxa" w:w="855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" w:line="274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2F6B4F"/>
                <w:sz w:val="18"/>
              </w:rPr>
              <w:t xml:space="preserve">［する］　</w:t>
            </w:r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会社として本人通知・委員会報告・再発防止を検討</w:t>
            </w:r>
          </w:p>
          <w:p>
            <w:pPr>
              <w:spacing w:after="0" w:line="269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要否の最終判断と対外対応は担当部署が行う。</w:t>
            </w:r>
          </w:p>
        </w:tc>
      </w:tr>
    </w:tbl>
    <w:p>
      <w:pPr>
        <w:spacing w:after="0" w:before="0"/>
      </w:pPr>
      <w:r>
        <w:rPr>
          <w:sz w:val="8"/>
        </w:rPr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2F6B4F"/>
              <w:start w:val="single" w:sz="4" w:space="0" w:color="2F6B4F"/>
              <w:bottom w:val="single" w:sz="4" w:space="0" w:color="2F6B4F"/>
              <w:end w:val="single" w:sz="4" w:space="0" w:color="2F6B4F"/>
            </w:tcBorders>
            <w:shd w:val="clear" w:color="auto" w:fill="E6F0EA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2F6B4F"/>
                <w:sz w:val="22"/>
              </w:rPr>
              <w:t>迷ったときの合言葉：「隠さず・消さず・すぐ報告」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止める（被害拡大の防止）→ 保全する（証拠を消さない）→ 報告する（社内の正規ルート）。この3つを最優先にします。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pStyle w:val="Heading2"/>
        <w:pBdr>
          <w:bottom w:val="single" w:sz="6" w:space="3" w:color="D7DEE6"/>
        </w:pBdr>
      </w:pPr>
      <w:r>
        <w:rPr>
          <w:rFonts w:ascii="Meiryo" w:hAnsi="Meiryo" w:eastAsia="Meiryo" w:cs="Meiryo"/>
          <w:b/>
          <w:i w:val="0"/>
          <w:color w:val="16314F"/>
          <w:sz w:val="25"/>
        </w:rPr>
        <w:t>初動チェックリスト（その場で確認）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追加の送信・共有・持出しを止めた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送信取消し・共有リンク停止・回収依頼など、できる範囲の止血を行った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メール・ログ・共有設定・送信先・画面を保存した（消していない）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相手方へ独断で連絡・口裏合わせをしていない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上長と個人情報保護担当（／法務・総務・情報システム）へ報告した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要配慮・財産的被害・不正目的・1,000人超の可能性を担当部署へ共有した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第2部の記録シートに、分かっている事実を記入し始めた</w:t>
      </w:r>
    </w:p>
    <w:p>
      <w:r>
        <w:br w:type="page"/>
      </w:r>
    </w:p>
    <w:p>
      <w:pPr>
        <w:pStyle w:val="Heading1"/>
        <w:pBdr>
          <w:bottom w:val="single" w:sz="10" w:space="3" w:color="B58A3A"/>
        </w:pBdr>
      </w:pPr>
      <w:r>
        <w:rPr>
          <w:rFonts w:ascii="Meiryo" w:hAnsi="Meiryo" w:eastAsia="Meiryo" w:cs="Meiryo"/>
          <w:b/>
          <w:i w:val="0"/>
          <w:color w:val="16314F"/>
          <w:sz w:val="30"/>
        </w:rPr>
        <w:t>第2部　事故報告・初動記録シート</w:t>
      </w:r>
    </w:p>
    <w:p>
      <w:pPr>
        <w:spacing w:after="80" w:before="0" w:line="288" w:lineRule="auto"/>
      </w:pPr>
      <w:r>
        <w:rPr>
          <w:rFonts w:ascii="Meiryo" w:hAnsi="Meiryo" w:eastAsia="Meiryo" w:cs="Meiryo"/>
          <w:b w:val="0"/>
          <w:i w:val="0"/>
          <w:color w:val="64748B"/>
          <w:sz w:val="19"/>
        </w:rPr>
        <w:t>発覚後できるだけ早く、分かっている範囲で記入します。空欄・不明は「不明」「調査中」と書いて構いません。推測と事実は区別して記載してください。</w:t>
      </w:r>
    </w:p>
    <w:p>
      <w:pPr>
        <w:pStyle w:val="Heading3"/>
      </w:pPr>
      <w:r>
        <w:rPr>
          <w:rFonts w:ascii="Meiryo" w:hAnsi="Meiryo" w:eastAsia="Meiryo" w:cs="Meiryo"/>
          <w:b/>
          <w:i w:val="0"/>
          <w:color w:val="243B53"/>
          <w:sz w:val="22"/>
        </w:rPr>
        <w:t>（1）受付・発見・発生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3100"/>
        <w:gridCol w:w="6500"/>
      </w:tblGrid>
      <w:tr>
        <w:tc>
          <w:tcPr>
            <w:tcW w:type="dxa" w:w="3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受付番号</w:t>
            </w:r>
          </w:p>
        </w:tc>
        <w:tc>
          <w:tcPr>
            <w:tcW w:type="dxa" w:w="6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記録作成日時 ／ 作成者</w:t>
            </w:r>
          </w:p>
        </w:tc>
        <w:tc>
          <w:tcPr>
            <w:tcW w:type="dxa" w:w="6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発見日時</w:t>
            </w:r>
          </w:p>
        </w:tc>
        <w:tc>
          <w:tcPr>
            <w:tcW w:type="dxa" w:w="6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発見者（氏名・所属）</w:t>
            </w:r>
          </w:p>
        </w:tc>
        <w:tc>
          <w:tcPr>
            <w:tcW w:type="dxa" w:w="6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発生（推定）日時</w:t>
            </w:r>
          </w:p>
        </w:tc>
        <w:tc>
          <w:tcPr>
            <w:tcW w:type="dxa" w:w="6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発生場所</w:t>
            </w:r>
          </w:p>
        </w:tc>
        <w:tc>
          <w:tcPr>
            <w:tcW w:type="dxa" w:w="6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</w:tbl>
    <w:p>
      <w:pPr>
        <w:spacing w:after="0" w:before="0"/>
      </w:pPr>
      <w:r>
        <w:rPr>
          <w:sz w:val="8"/>
        </w:rPr>
      </w:r>
    </w:p>
    <w:p>
      <w:pPr>
        <w:pStyle w:val="Heading3"/>
      </w:pPr>
      <w:r>
        <w:rPr>
          <w:rFonts w:ascii="Meiryo" w:hAnsi="Meiryo" w:eastAsia="Meiryo" w:cs="Meiryo"/>
          <w:b/>
          <w:i w:val="0"/>
          <w:color w:val="243B53"/>
          <w:sz w:val="22"/>
        </w:rPr>
        <w:t>（2）発生経路・区分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3100"/>
        <w:gridCol w:w="6500"/>
      </w:tblGrid>
      <w:tr>
        <w:tc>
          <w:tcPr>
            <w:tcW w:type="dxa" w:w="3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発生経路（概要）</w:t>
            </w:r>
          </w:p>
        </w:tc>
        <w:tc>
          <w:tcPr>
            <w:tcW w:type="dxa" w:w="6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</w:tbl>
    <w:p>
      <w:pPr>
        <w:spacing w:after="0" w:before="0"/>
      </w:pPr>
      <w:r>
        <w:rPr>
          <w:sz w:val="8"/>
        </w:rPr>
      </w:r>
    </w:p>
    <w:p>
      <w:pPr>
        <w:spacing w:after="40" w:before="40" w:line="293" w:lineRule="auto"/>
      </w:pPr>
      <w:r>
        <w:rPr>
          <w:rFonts w:ascii="Meiryo" w:hAnsi="Meiryo" w:eastAsia="Meiryo" w:cs="Meiryo"/>
          <w:b w:val="0"/>
          <w:i w:val="0"/>
          <w:color w:val="263238"/>
          <w:sz w:val="20"/>
        </w:rPr>
        <w:t>区分（当てはまるものに☑）：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メール（誤送信・宛先誤り・CC/BCC誤り）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添付ファイルの取り違え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クラウド共有・リンク設定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チャット・ファイル転送・外部サービス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紙資料（置き忘れ・誤交付・誤廃棄）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USB・記録媒体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PC・スマホ等の端末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委託先・取引先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不正アクセス・持ち出しの疑い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その他（　　　　　　　）</w:t>
      </w:r>
    </w:p>
    <w:p>
      <w:pPr>
        <w:pStyle w:val="Heading3"/>
      </w:pPr>
      <w:r>
        <w:rPr>
          <w:rFonts w:ascii="Meiryo" w:hAnsi="Meiryo" w:eastAsia="Meiryo" w:cs="Meiryo"/>
          <w:b/>
          <w:i w:val="0"/>
          <w:color w:val="243B53"/>
          <w:sz w:val="22"/>
        </w:rPr>
        <w:t>（3）対象となった情報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3700"/>
        <w:gridCol w:w="5900"/>
      </w:tblGrid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対象情報の種類（具体的に）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含まれ得る項目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氏名・住所・電話・メール・社員/顧客番号・口座・履歴書・評価・健康/相談・その他</w:t>
            </w:r>
          </w:p>
        </w:tc>
      </w:tr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個人情報／個人データの別（現時点の見立て）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要配慮個人情報の可能性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あり ・ なし ・ 不明　（病歴・健康・障害・犯罪被害・信条 等）</w:t>
            </w:r>
          </w:p>
        </w:tc>
      </w:tr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対象人数（概数可）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対象者の属性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顧客 ・ 取引先担当者 ・ 応募者 ・ 従業員 ・ その他（　　　）</w:t>
            </w:r>
          </w:p>
        </w:tc>
      </w:tr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誤送信先／共有先／紛失場所／閲覧可能だった者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</w:tbl>
    <w:p>
      <w:pPr>
        <w:spacing w:after="0" w:before="0"/>
      </w:pPr>
      <w:r>
        <w:rPr>
          <w:sz w:val="8"/>
        </w:rPr>
      </w:r>
    </w:p>
    <w:p>
      <w:pPr>
        <w:pStyle w:val="Heading3"/>
      </w:pPr>
      <w:r>
        <w:rPr>
          <w:rFonts w:ascii="Meiryo" w:hAnsi="Meiryo" w:eastAsia="Meiryo" w:cs="Meiryo"/>
          <w:b/>
          <w:i w:val="0"/>
          <w:color w:val="243B53"/>
          <w:sz w:val="22"/>
        </w:rPr>
        <w:t>（4）原因と初動対応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3700"/>
        <w:gridCol w:w="5900"/>
      </w:tblGrid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発生原因（分かっている範囲）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直ちに行った対応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止血措置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送信取消し ・ 共有リンク停止 ・ アクセス権変更 ・ 回収/返却依頼 ・ 端末ロック ・ その他</w:t>
            </w:r>
          </w:p>
        </w:tc>
      </w:tr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保全した証拠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送信済みメール ・ アクセス/操作ログ ・ 共有設定の画面 ・ ファイル名一覧 ・ その他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pStyle w:val="Heading3"/>
      </w:pPr>
      <w:r>
        <w:rPr>
          <w:rFonts w:ascii="Meiryo" w:hAnsi="Meiryo" w:eastAsia="Meiryo" w:cs="Meiryo"/>
          <w:b/>
          <w:i w:val="0"/>
          <w:color w:val="243B53"/>
          <w:sz w:val="22"/>
        </w:rPr>
        <w:t>（5）影響・報告・今後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3700"/>
        <w:gridCol w:w="5900"/>
      </w:tblGrid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本人への想定される影響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財産的被害のおそれ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あり ・ なし ・ 不明</w:t>
            </w:r>
          </w:p>
        </w:tc>
      </w:tr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不正アクセス／不正目的の可能性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あり ・ なし ・ 不明</w:t>
            </w:r>
          </w:p>
        </w:tc>
      </w:tr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社内報告先（報告日時・相手）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次回対応予定（誰が・いつ・何を）</w:t>
            </w:r>
          </w:p>
        </w:tc>
        <w:tc>
          <w:tcPr>
            <w:tcW w:type="dxa" w:w="5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</w:tbl>
    <w:p>
      <w:pPr>
        <w:spacing w:after="0" w:before="0"/>
      </w:pPr>
      <w:r>
        <w:rPr>
          <w:sz w:val="8"/>
        </w:rPr>
      </w:r>
    </w:p>
    <w:p>
      <w:pPr>
        <w:spacing w:after="80" w:before="0" w:line="288" w:lineRule="auto"/>
      </w:pPr>
      <w:r>
        <w:rPr>
          <w:rFonts w:ascii="Meiryo" w:hAnsi="Meiryo" w:eastAsia="Meiryo" w:cs="Meiryo"/>
          <w:b w:val="0"/>
          <w:i w:val="0"/>
          <w:color w:val="64748B"/>
          <w:sz w:val="19"/>
        </w:rPr>
        <w:t>本シートは社内記録用です。本人通知・委員会報告の要否、対外公表の判断は、第3部の確認を踏まえ担当部署が行います。</w:t>
      </w:r>
    </w:p>
    <w:p>
      <w:r>
        <w:br w:type="page"/>
      </w:r>
    </w:p>
    <w:p>
      <w:pPr>
        <w:pStyle w:val="Heading1"/>
        <w:pBdr>
          <w:bottom w:val="single" w:sz="10" w:space="3" w:color="B58A3A"/>
        </w:pBdr>
      </w:pPr>
      <w:r>
        <w:rPr>
          <w:rFonts w:ascii="Meiryo" w:hAnsi="Meiryo" w:eastAsia="Meiryo" w:cs="Meiryo"/>
          <w:b/>
          <w:i w:val="0"/>
          <w:color w:val="16314F"/>
          <w:sz w:val="30"/>
        </w:rPr>
        <w:t>第3部　個人情報保護委員会報告・本人通知の可能性チェック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B42318"/>
              <w:start w:val="single" w:sz="4" w:space="0" w:color="B42318"/>
              <w:bottom w:val="single" w:sz="4" w:space="0" w:color="B42318"/>
              <w:end w:val="single" w:sz="4" w:space="0" w:color="B42318"/>
            </w:tcBorders>
            <w:shd w:val="clear" w:color="auto" w:fill="FBEAE8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B42318"/>
                <w:sz w:val="22"/>
              </w:rPr>
              <w:t>重要：これは“該当の可能性”を拾い上げるためのチェックです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現場担当者が報告義務・本人通知の有無を最終判断するものではありません。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一つでも「可能性あり／不明」がある場合は、直ちに個人情報保護担当・法務・総務へ報告してください。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pStyle w:val="Heading2"/>
        <w:pBdr>
          <w:bottom w:val="single" w:sz="6" w:space="3" w:color="D7DEE6"/>
        </w:pBdr>
      </w:pPr>
      <w:r>
        <w:rPr>
          <w:rFonts w:ascii="Meiryo" w:hAnsi="Meiryo" w:eastAsia="Meiryo" w:cs="Meiryo"/>
          <w:b/>
          <w:i w:val="0"/>
          <w:color w:val="16314F"/>
          <w:sz w:val="25"/>
        </w:rPr>
        <w:t>（1）報告対象になり得る4類型（個人データの漏えい等）</w:t>
      </w:r>
    </w:p>
    <w:p>
      <w:pPr>
        <w:spacing w:after="80" w:before="0" w:line="288" w:lineRule="auto"/>
      </w:pPr>
      <w:r>
        <w:rPr>
          <w:rFonts w:ascii="Meiryo" w:hAnsi="Meiryo" w:eastAsia="Meiryo" w:cs="Meiryo"/>
          <w:b w:val="0"/>
          <w:i w:val="0"/>
          <w:color w:val="64748B"/>
          <w:sz w:val="19"/>
        </w:rPr>
        <w:t>個人の権利利益を害するおそれが大きい類型として、規則で次の4つが定められています（個人情報保護法26条・規則7条参照）。当てはまる“可能性”がある欄に☑。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① 要配慮個人情報が含まれる（病歴・健康・障害・犯罪被害・信条 等）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② 不正に利用されると財産的被害が生じるおそれがある（クレジットカード番号・認証情報 等）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③ 不正の目的をもって行われたおそれがある（不正アクセス・故意の持ち出し 等）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④ 1,000人を超える本人に係る漏えい等のおそれがある</w:t>
      </w:r>
    </w:p>
    <w:p>
      <w:pPr>
        <w:spacing w:after="80" w:before="0" w:line="288" w:lineRule="auto"/>
      </w:pPr>
      <w:r>
        <w:rPr>
          <w:rFonts w:ascii="Meiryo" w:hAnsi="Meiryo" w:eastAsia="Meiryo" w:cs="Meiryo"/>
          <w:b w:val="0"/>
          <w:i w:val="0"/>
          <w:color w:val="64748B"/>
          <w:sz w:val="19"/>
        </w:rPr>
        <w:t>※ 上記いずれにも明確に当たらない場合でも、漏えい等が起きた事実の社内記録・再発防止は必要です。「軽微だから記録しない」は避けてください。</w:t>
      </w:r>
    </w:p>
    <w:p>
      <w:pPr>
        <w:pStyle w:val="Heading2"/>
        <w:pBdr>
          <w:bottom w:val="single" w:sz="6" w:space="3" w:color="D7DEE6"/>
        </w:pBdr>
      </w:pPr>
      <w:r>
        <w:rPr>
          <w:rFonts w:ascii="Meiryo" w:hAnsi="Meiryo" w:eastAsia="Meiryo" w:cs="Meiryo"/>
          <w:b/>
          <w:i w:val="0"/>
          <w:color w:val="16314F"/>
          <w:sz w:val="25"/>
        </w:rPr>
        <w:t>（2）期限の目安（管理は担当部署）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3200"/>
        <w:gridCol w:w="3200"/>
        <w:gridCol w:w="3200"/>
      </w:tblGrid>
      <w:tr>
        <w:tc>
          <w:tcPr>
            <w:tcW w:type="dxa" w:w="3200"/>
            <w:tcBorders>
              <w:top w:val="single" w:sz="4" w:space="0" w:color="237A75"/>
              <w:start w:val="single" w:sz="4" w:space="0" w:color="237A75"/>
              <w:bottom w:val="single" w:sz="4" w:space="0" w:color="237A75"/>
              <w:end w:val="single" w:sz="4" w:space="0" w:color="237A75"/>
            </w:tcBorders>
            <w:shd w:val="clear" w:color="auto" w:fill="237A75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0"/>
              </w:rPr>
              <w:t>区分</w:t>
            </w:r>
          </w:p>
        </w:tc>
        <w:tc>
          <w:tcPr>
            <w:tcW w:type="dxa" w:w="3200"/>
            <w:tcBorders>
              <w:top w:val="single" w:sz="4" w:space="0" w:color="237A75"/>
              <w:start w:val="single" w:sz="4" w:space="0" w:color="237A75"/>
              <w:bottom w:val="single" w:sz="4" w:space="0" w:color="237A75"/>
              <w:end w:val="single" w:sz="4" w:space="0" w:color="237A75"/>
            </w:tcBorders>
            <w:shd w:val="clear" w:color="auto" w:fill="237A75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0"/>
              </w:rPr>
              <w:t>目安</w:t>
            </w:r>
          </w:p>
        </w:tc>
        <w:tc>
          <w:tcPr>
            <w:tcW w:type="dxa" w:w="3200"/>
            <w:tcBorders>
              <w:top w:val="single" w:sz="4" w:space="0" w:color="237A75"/>
              <w:start w:val="single" w:sz="4" w:space="0" w:color="237A75"/>
              <w:bottom w:val="single" w:sz="4" w:space="0" w:color="237A75"/>
              <w:end w:val="single" w:sz="4" w:space="0" w:color="237A75"/>
            </w:tcBorders>
            <w:shd w:val="clear" w:color="auto" w:fill="237A75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0"/>
              </w:rPr>
              <w:t>起算・補足</w:t>
            </w:r>
          </w:p>
        </w:tc>
      </w:tr>
      <w:tr>
        <w:tc>
          <w:tcPr>
            <w:tcW w:type="dxa" w:w="3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速報</w:t>
            </w:r>
          </w:p>
        </w:tc>
        <w:tc>
          <w:tcPr>
            <w:tcW w:type="dxa" w:w="3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速やかに（概ね3〜5日以内が目安）</w:t>
            </w:r>
          </w:p>
        </w:tc>
        <w:tc>
          <w:tcPr>
            <w:tcW w:type="dxa" w:w="3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個人情報保護委員会への第一報。判明している範囲で報告。</w:t>
            </w:r>
          </w:p>
        </w:tc>
      </w:tr>
      <w:tr>
        <w:tc>
          <w:tcPr>
            <w:tcW w:type="dxa" w:w="3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確報</w:t>
            </w:r>
          </w:p>
        </w:tc>
        <w:tc>
          <w:tcPr>
            <w:tcW w:type="dxa" w:w="3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原則30日以内</w:t>
            </w:r>
          </w:p>
        </w:tc>
        <w:tc>
          <w:tcPr>
            <w:tcW w:type="dxa" w:w="3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発覚した日から起算（規則8条参照）。</w:t>
            </w:r>
          </w:p>
        </w:tc>
      </w:tr>
      <w:tr>
        <w:tc>
          <w:tcPr>
            <w:tcW w:type="dxa" w:w="3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確報（不正目的のおそれ）</w:t>
            </w:r>
          </w:p>
        </w:tc>
        <w:tc>
          <w:tcPr>
            <w:tcW w:type="dxa" w:w="3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60日以内</w:t>
            </w:r>
          </w:p>
        </w:tc>
        <w:tc>
          <w:tcPr>
            <w:tcW w:type="dxa" w:w="3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9"/>
              </w:rPr>
              <w:t>③の類型に当たるおそれがある場合。</w:t>
            </w:r>
          </w:p>
        </w:tc>
      </w:tr>
    </w:tbl>
    <w:p>
      <w:pPr>
        <w:spacing w:after="0" w:before="0"/>
      </w:pPr>
      <w:r>
        <w:rPr>
          <w:sz w:val="8"/>
        </w:rPr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16314F"/>
              <w:start w:val="single" w:sz="4" w:space="0" w:color="16314F"/>
              <w:bottom w:val="single" w:sz="4" w:space="0" w:color="16314F"/>
              <w:end w:val="single" w:sz="4" w:space="0" w:color="16314F"/>
            </w:tcBorders>
            <w:shd w:val="clear" w:color="auto" w:fill="EAF0F6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現場が覚えること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期限の計算は担当部署が行いますが、現場報告が遅れると速報・確報の期限に間に合いません。「発覚＝すぐ報告」が、期限を守る前提です。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pStyle w:val="Heading2"/>
        <w:pBdr>
          <w:bottom w:val="single" w:sz="6" w:space="3" w:color="D7DEE6"/>
        </w:pBdr>
      </w:pPr>
      <w:r>
        <w:rPr>
          <w:rFonts w:ascii="Meiryo" w:hAnsi="Meiryo" w:eastAsia="Meiryo" w:cs="Meiryo"/>
          <w:b/>
          <w:i w:val="0"/>
          <w:color w:val="16314F"/>
          <w:sz w:val="25"/>
        </w:rPr>
        <w:t>（3）判断・検討の記録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4200"/>
        <w:gridCol w:w="5400"/>
      </w:tblGrid>
      <w:tr>
        <w:tc>
          <w:tcPr>
            <w:tcW w:type="dxa" w:w="4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発覚日</w:t>
            </w:r>
          </w:p>
        </w:tc>
        <w:tc>
          <w:tcPr>
            <w:tcW w:type="dxa" w:w="5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4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速報の目安日（発覚＋数日）</w:t>
            </w:r>
          </w:p>
        </w:tc>
        <w:tc>
          <w:tcPr>
            <w:tcW w:type="dxa" w:w="5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4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確報の目安日（原則30日／不正目的60日）</w:t>
            </w:r>
          </w:p>
        </w:tc>
        <w:tc>
          <w:tcPr>
            <w:tcW w:type="dxa" w:w="5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4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本人通知の要否検討（担当部署）</w:t>
            </w:r>
          </w:p>
        </w:tc>
        <w:tc>
          <w:tcPr>
            <w:tcW w:type="dxa" w:w="5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検討中 ・ 要 ・ 否 ・ 保留</w:t>
            </w:r>
          </w:p>
        </w:tc>
      </w:tr>
      <w:tr>
        <w:tc>
          <w:tcPr>
            <w:tcW w:type="dxa" w:w="4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委員会報告の要否検討（担当部署）</w:t>
            </w:r>
          </w:p>
        </w:tc>
        <w:tc>
          <w:tcPr>
            <w:tcW w:type="dxa" w:w="5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検討中 ・ 要 ・ 否 ・ 保留</w:t>
            </w:r>
          </w:p>
        </w:tc>
      </w:tr>
      <w:tr>
        <w:tc>
          <w:tcPr>
            <w:tcW w:type="dxa" w:w="4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対外公表の要否検討</w:t>
            </w:r>
          </w:p>
        </w:tc>
        <w:tc>
          <w:tcPr>
            <w:tcW w:type="dxa" w:w="5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検討中 ・ 要 ・ 否 ・ 保留</w:t>
            </w:r>
          </w:p>
        </w:tc>
      </w:tr>
      <w:tr>
        <w:tc>
          <w:tcPr>
            <w:tcW w:type="dxa" w:w="4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判断者（部署・氏名）</w:t>
            </w:r>
          </w:p>
        </w:tc>
        <w:tc>
          <w:tcPr>
            <w:tcW w:type="dxa" w:w="5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42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社外専門家（弁護士等）相談の要否</w:t>
            </w:r>
          </w:p>
        </w:tc>
        <w:tc>
          <w:tcPr>
            <w:tcW w:type="dxa" w:w="5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要 ・ 否 ・ 検討中</w:t>
            </w:r>
          </w:p>
        </w:tc>
      </w:tr>
    </w:tbl>
    <w:p>
      <w:pPr>
        <w:spacing w:after="0" w:before="0"/>
      </w:pPr>
      <w:r>
        <w:rPr>
          <w:sz w:val="8"/>
        </w:rPr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B58A3A"/>
              <w:start w:val="single" w:sz="4" w:space="0" w:color="B58A3A"/>
              <w:bottom w:val="single" w:sz="4" w:space="0" w:color="B58A3A"/>
              <w:end w:val="single" w:sz="4" w:space="0" w:color="B58A3A"/>
            </w:tcBorders>
            <w:shd w:val="clear" w:color="auto" w:fill="F6EEDD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B58A3A"/>
                <w:sz w:val="22"/>
              </w:rPr>
              <w:t>【要自社記入：個人情報漏えい等報告先】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 xml:space="preserve">個人情報保護担当：　　　　　　　　　　　　　　　／　法務：　　　　　　　　　　　　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 xml:space="preserve">総務：　　　　　　　　　　　　／　情報システム：　　　　　　　　　／　緊急連絡先：　　　　　　　　　　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r>
        <w:br w:type="page"/>
      </w:r>
    </w:p>
    <w:p>
      <w:pPr>
        <w:pStyle w:val="Heading1"/>
        <w:pBdr>
          <w:bottom w:val="single" w:sz="10" w:space="3" w:color="B58A3A"/>
        </w:pBdr>
      </w:pPr>
      <w:r>
        <w:rPr>
          <w:rFonts w:ascii="Meiryo" w:hAnsi="Meiryo" w:eastAsia="Meiryo" w:cs="Meiryo"/>
          <w:b/>
          <w:i w:val="0"/>
          <w:color w:val="16314F"/>
          <w:sz w:val="30"/>
        </w:rPr>
        <w:t>第4部　再発防止・是正措置シート</w:t>
      </w:r>
    </w:p>
    <w:p>
      <w:pPr>
        <w:spacing w:after="80" w:before="0" w:line="288" w:lineRule="auto"/>
      </w:pPr>
      <w:r>
        <w:rPr>
          <w:rFonts w:ascii="Meiryo" w:hAnsi="Meiryo" w:eastAsia="Meiryo" w:cs="Meiryo"/>
          <w:b w:val="0"/>
          <w:i w:val="0"/>
          <w:color w:val="64748B"/>
          <w:sz w:val="19"/>
        </w:rPr>
        <w:t>「誰が悪かったか」ではなく「どうすれば次は起きないか」を、仕組みの観点で整理します。人を責める記録にしないでください。</w:t>
      </w:r>
    </w:p>
    <w:p>
      <w:pPr>
        <w:pStyle w:val="Heading2"/>
        <w:pBdr>
          <w:bottom w:val="single" w:sz="6" w:space="3" w:color="D7DEE6"/>
        </w:pBdr>
      </w:pPr>
      <w:r>
        <w:rPr>
          <w:rFonts w:ascii="Meiryo" w:hAnsi="Meiryo" w:eastAsia="Meiryo" w:cs="Meiryo"/>
          <w:b/>
          <w:i w:val="0"/>
          <w:color w:val="16314F"/>
          <w:sz w:val="25"/>
        </w:rPr>
        <w:t>（1）発生原因の分析（当てはまるものに☑・複数可）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人の確認不足（宛先・添付・共有設定の未確認）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手順・ルールの不備（チェック手順が無い／曖昧）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システム設定（既定の共有範囲・自動補完 等）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アクセス権・権限設定（過剰付与・退職者権限の残存）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委託先管理（契約・報告ルート・指示の不足）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教育・周知不足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繁忙・属人化（一人で完結・確認者不在）</w:t>
      </w:r>
    </w:p>
    <w:p>
      <w:pPr>
        <w:spacing w:after="4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その他（　　　　　　　　　）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3100"/>
        <w:gridCol w:w="6500"/>
      </w:tblGrid>
      <w:tr>
        <w:tc>
          <w:tcPr>
            <w:tcW w:type="dxa" w:w="3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原因の具体的記述</w:t>
            </w:r>
          </w:p>
        </w:tc>
        <w:tc>
          <w:tcPr>
            <w:tcW w:type="dxa" w:w="6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</w:tbl>
    <w:p>
      <w:pPr>
        <w:spacing w:after="0" w:before="0"/>
      </w:pPr>
      <w:r>
        <w:rPr>
          <w:sz w:val="8"/>
        </w:rPr>
      </w:r>
    </w:p>
    <w:p>
      <w:pPr>
        <w:pStyle w:val="Heading2"/>
        <w:pBdr>
          <w:bottom w:val="single" w:sz="6" w:space="3" w:color="D7DEE6"/>
        </w:pBdr>
      </w:pPr>
      <w:r>
        <w:rPr>
          <w:rFonts w:ascii="Meiryo" w:hAnsi="Meiryo" w:eastAsia="Meiryo" w:cs="Meiryo"/>
          <w:b/>
          <w:i w:val="0"/>
          <w:color w:val="16314F"/>
          <w:sz w:val="25"/>
        </w:rPr>
        <w:t>（2）再発防止策（観点別）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2300"/>
        <w:gridCol w:w="4100"/>
        <w:gridCol w:w="1800"/>
        <w:gridCol w:w="1400"/>
      </w:tblGrid>
      <w:tr>
        <w:tc>
          <w:tcPr>
            <w:tcW w:type="dxa" w:w="2300"/>
            <w:tcBorders>
              <w:top w:val="single" w:sz="4" w:space="0" w:color="2F6B4F"/>
              <w:start w:val="single" w:sz="4" w:space="0" w:color="2F6B4F"/>
              <w:bottom w:val="single" w:sz="4" w:space="0" w:color="2F6B4F"/>
              <w:end w:val="single" w:sz="4" w:space="0" w:color="2F6B4F"/>
            </w:tcBorders>
            <w:shd w:val="clear" w:color="auto" w:fill="2F6B4F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0"/>
              </w:rPr>
              <w:t>観点</w:t>
            </w:r>
          </w:p>
        </w:tc>
        <w:tc>
          <w:tcPr>
            <w:tcW w:type="dxa" w:w="4100"/>
            <w:tcBorders>
              <w:top w:val="single" w:sz="4" w:space="0" w:color="2F6B4F"/>
              <w:start w:val="single" w:sz="4" w:space="0" w:color="2F6B4F"/>
              <w:bottom w:val="single" w:sz="4" w:space="0" w:color="2F6B4F"/>
              <w:end w:val="single" w:sz="4" w:space="0" w:color="2F6B4F"/>
            </w:tcBorders>
            <w:shd w:val="clear" w:color="auto" w:fill="2F6B4F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0"/>
              </w:rPr>
              <w:t>具体策（記入）</w:t>
            </w:r>
          </w:p>
        </w:tc>
        <w:tc>
          <w:tcPr>
            <w:tcW w:type="dxa" w:w="1800"/>
            <w:tcBorders>
              <w:top w:val="single" w:sz="4" w:space="0" w:color="2F6B4F"/>
              <w:start w:val="single" w:sz="4" w:space="0" w:color="2F6B4F"/>
              <w:bottom w:val="single" w:sz="4" w:space="0" w:color="2F6B4F"/>
              <w:end w:val="single" w:sz="4" w:space="0" w:color="2F6B4F"/>
            </w:tcBorders>
            <w:shd w:val="clear" w:color="auto" w:fill="2F6B4F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0"/>
              </w:rPr>
              <w:t>実施責任者</w:t>
            </w:r>
          </w:p>
        </w:tc>
        <w:tc>
          <w:tcPr>
            <w:tcW w:type="dxa" w:w="1400"/>
            <w:tcBorders>
              <w:top w:val="single" w:sz="4" w:space="0" w:color="2F6B4F"/>
              <w:start w:val="single" w:sz="4" w:space="0" w:color="2F6B4F"/>
              <w:bottom w:val="single" w:sz="4" w:space="0" w:color="2F6B4F"/>
              <w:end w:val="single" w:sz="4" w:space="0" w:color="2F6B4F"/>
            </w:tcBorders>
            <w:shd w:val="clear" w:color="auto" w:fill="2F6B4F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0"/>
              </w:rPr>
              <w:t>期限</w:t>
            </w:r>
          </w:p>
        </w:tc>
      </w:tr>
      <w:tr>
        <w:tc>
          <w:tcPr>
            <w:tcW w:type="dxa" w:w="23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8"/>
              </w:rPr>
              <w:t>メール送信ルール</w:t>
            </w:r>
          </w:p>
        </w:tc>
        <w:tc>
          <w:tcPr>
            <w:tcW w:type="dxa" w:w="4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  <w:tc>
          <w:tcPr>
            <w:tcW w:type="dxa" w:w="18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  <w:tc>
          <w:tcPr>
            <w:tcW w:type="dxa" w:w="1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</w:tr>
      <w:tr>
        <w:tc>
          <w:tcPr>
            <w:tcW w:type="dxa" w:w="23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8"/>
              </w:rPr>
              <w:t>ファイル共有ルール</w:t>
            </w:r>
          </w:p>
        </w:tc>
        <w:tc>
          <w:tcPr>
            <w:tcW w:type="dxa" w:w="4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  <w:tc>
          <w:tcPr>
            <w:tcW w:type="dxa" w:w="18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  <w:tc>
          <w:tcPr>
            <w:tcW w:type="dxa" w:w="1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</w:tr>
      <w:tr>
        <w:tc>
          <w:tcPr>
            <w:tcW w:type="dxa" w:w="23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8"/>
              </w:rPr>
              <w:t>アクセス権の見直し</w:t>
            </w:r>
          </w:p>
        </w:tc>
        <w:tc>
          <w:tcPr>
            <w:tcW w:type="dxa" w:w="4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  <w:tc>
          <w:tcPr>
            <w:tcW w:type="dxa" w:w="18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  <w:tc>
          <w:tcPr>
            <w:tcW w:type="dxa" w:w="1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</w:tr>
      <w:tr>
        <w:tc>
          <w:tcPr>
            <w:tcW w:type="dxa" w:w="23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8"/>
              </w:rPr>
              <w:t>持出し・廃棄ルール</w:t>
            </w:r>
          </w:p>
        </w:tc>
        <w:tc>
          <w:tcPr>
            <w:tcW w:type="dxa" w:w="4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  <w:tc>
          <w:tcPr>
            <w:tcW w:type="dxa" w:w="18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  <w:tc>
          <w:tcPr>
            <w:tcW w:type="dxa" w:w="1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</w:tr>
      <w:tr>
        <w:tc>
          <w:tcPr>
            <w:tcW w:type="dxa" w:w="23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8"/>
              </w:rPr>
              <w:t>チェックリスト導入</w:t>
            </w:r>
          </w:p>
        </w:tc>
        <w:tc>
          <w:tcPr>
            <w:tcW w:type="dxa" w:w="4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  <w:tc>
          <w:tcPr>
            <w:tcW w:type="dxa" w:w="18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  <w:tc>
          <w:tcPr>
            <w:tcW w:type="dxa" w:w="1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</w:tr>
      <w:tr>
        <w:tc>
          <w:tcPr>
            <w:tcW w:type="dxa" w:w="23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8"/>
              </w:rPr>
              <w:t>研修・周知</w:t>
            </w:r>
          </w:p>
        </w:tc>
        <w:tc>
          <w:tcPr>
            <w:tcW w:type="dxa" w:w="4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  <w:tc>
          <w:tcPr>
            <w:tcW w:type="dxa" w:w="18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  <w:tc>
          <w:tcPr>
            <w:tcW w:type="dxa" w:w="1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</w:tr>
      <w:tr>
        <w:tc>
          <w:tcPr>
            <w:tcW w:type="dxa" w:w="23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18"/>
              </w:rPr>
              <w:t>委託先への指導</w:t>
            </w:r>
          </w:p>
        </w:tc>
        <w:tc>
          <w:tcPr>
            <w:tcW w:type="dxa" w:w="4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  <w:tc>
          <w:tcPr>
            <w:tcW w:type="dxa" w:w="18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  <w:tc>
          <w:tcPr>
            <w:tcW w:type="dxa" w:w="14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200" w:before="0" w:line="278" w:lineRule="auto"/>
            </w:pPr>
            <w:r/>
          </w:p>
        </w:tc>
      </w:tr>
    </w:tbl>
    <w:p>
      <w:pPr>
        <w:spacing w:after="0" w:before="0"/>
      </w:pPr>
      <w:r>
        <w:rPr>
          <w:sz w:val="8"/>
        </w:rPr>
      </w:r>
    </w:p>
    <w:p>
      <w:pPr>
        <w:pStyle w:val="Heading2"/>
        <w:pBdr>
          <w:bottom w:val="single" w:sz="6" w:space="3" w:color="D7DEE6"/>
        </w:pBdr>
      </w:pPr>
      <w:r>
        <w:rPr>
          <w:rFonts w:ascii="Meiryo" w:hAnsi="Meiryo" w:eastAsia="Meiryo" w:cs="Meiryo"/>
          <w:b/>
          <w:i w:val="0"/>
          <w:color w:val="16314F"/>
          <w:sz w:val="25"/>
        </w:rPr>
        <w:t>（3）フォローアップ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3100"/>
        <w:gridCol w:w="6500"/>
      </w:tblGrid>
      <w:tr>
        <w:tc>
          <w:tcPr>
            <w:tcW w:type="dxa" w:w="3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実施責任者（全体）</w:t>
            </w:r>
          </w:p>
        </w:tc>
        <w:tc>
          <w:tcPr>
            <w:tcW w:type="dxa" w:w="6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完了予定日</w:t>
            </w:r>
          </w:p>
        </w:tc>
        <w:tc>
          <w:tcPr>
            <w:tcW w:type="dxa" w:w="6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フォローアップ日（効果確認）</w:t>
            </w:r>
          </w:p>
        </w:tc>
        <w:tc>
          <w:tcPr>
            <w:tcW w:type="dxa" w:w="6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  <w:tr>
        <w:tc>
          <w:tcPr>
            <w:tcW w:type="dxa" w:w="31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EAF0F6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19"/>
              </w:rPr>
              <w:t>確認結果・残課題</w:t>
            </w:r>
          </w:p>
        </w:tc>
        <w:tc>
          <w:tcPr>
            <w:tcW w:type="dxa" w:w="65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</w:p>
        </w:tc>
      </w:tr>
    </w:tbl>
    <w:p>
      <w:pPr>
        <w:spacing w:after="0" w:before="0"/>
      </w:pPr>
      <w:r>
        <w:rPr>
          <w:sz w:val="8"/>
        </w:rPr>
      </w:r>
    </w:p>
    <w:p>
      <w:pPr>
        <w:pBdr>
          <w:bottom w:val="single" w:sz="6" w:space="1" w:color="D7DEE6"/>
        </w:pBdr>
        <w:spacing w:before="40" w:after="120"/>
      </w:pPr>
    </w:p>
    <w:p>
      <w:pPr>
        <w:spacing w:after="80" w:before="0" w:line="288" w:lineRule="auto"/>
      </w:pPr>
      <w:r>
        <w:rPr>
          <w:rFonts w:ascii="Meiryo" w:hAnsi="Meiryo" w:eastAsia="Meiryo" w:cs="Meiryo"/>
          <w:b w:val="0"/>
          <w:i w:val="0"/>
          <w:color w:val="64748B"/>
          <w:sz w:val="19"/>
        </w:rPr>
        <w:t>参考：個人情報保護委員会「漏えい等の対応とお役立ち資料」「漏えい等報告・本人への通知の義務化について」、ガイドライン（通則編）。最新の様式・手続は委員会サイトで確認してください。</w:t>
      </w:r>
    </w:p>
    <w:p>
      <w:pPr>
        <w:spacing w:after="80" w:before="0" w:line="288" w:lineRule="auto"/>
      </w:pPr>
      <w:r>
        <w:rPr>
          <w:rFonts w:ascii="Meiryo" w:hAnsi="Meiryo" w:eastAsia="Meiryo" w:cs="Meiryo"/>
          <w:b w:val="0"/>
          <w:i w:val="0"/>
          <w:color w:val="64748B"/>
          <w:sz w:val="19"/>
        </w:rPr>
        <w:t>本書式はひな形です。記載は自社の個人情報取扱規程・事故対応手順に合わせて調整してください。</w:t>
      </w:r>
    </w:p>
    <w:sectPr w:rsidR="00FC693F" w:rsidRPr="0006063C" w:rsidSect="00034616">
      <w:footerReference w:type="default" r:id="rId9"/>
      <w:pgSz w:w="11906" w:h="16838"/>
      <w:pgMar w:top="1247" w:right="1134" w:bottom="1020" w:left="1134" w:header="68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800" w:val="center"/>
        <w:tab w:pos="9600" w:val="right"/>
      </w:tabs>
    </w:pPr>
    <w:r/>
    <w:r>
      <w:rPr>
        <w:rFonts w:ascii="Meiryo" w:hAnsi="Meiryo" w:eastAsia="Meiryo" w:cs="Meiryo"/>
        <w:color w:val="64748B"/>
        <w:sz w:val="16"/>
      </w:rPr>
      <w:tab/>
      <w:t>Legal GPT　｜　第9回 個人情報保護研修</w:t>
      <w:tab/>
    </w:r>
    <w:r>
      <w:rPr>
        <w:sz w:val="16"/>
        <w:color w:val="64748B"/>
      </w:rPr>
      <w:fldChar w:fldCharType="begin"/>
    </w:r>
    <w:r>
      <w:rPr>
        <w:sz w:val="16"/>
      </w:rPr>
      <w:instrText xml:space="preserve"> PAGE </w:instrText>
    </w:r>
    <w:r>
      <w:rPr>
        <w:sz w:val="16"/>
        <w:color w:val="64748B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 w:ascii="Meiryo" w:hAnsi="Meiryo" w:eastAsia="Meiryo" w:cs="Meiryo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auto" w:line="293" w:after="80"/>
    </w:pPr>
    <w:rPr>
      <w:rFonts w:ascii="Meiryo" w:hAnsi="Meiryo" w:eastAsia="Meiryo" w:cs="Meiryo"/>
      <w:color w:val="26323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Meiryo" w:hAnsi="Meiryo" w:eastAsia="Meiryo" w:cs="Meiryo"/>
      <w:b/>
      <w:bCs/>
      <w:color w:val="16314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60"/>
      <w:outlineLvl w:val="1"/>
    </w:pPr>
    <w:rPr>
      <w:rFonts w:asciiTheme="majorHAnsi" w:eastAsiaTheme="majorEastAsia" w:hAnsiTheme="majorHAnsi" w:cstheme="majorBidi" w:ascii="Meiryo" w:hAnsi="Meiryo" w:eastAsia="Meiryo" w:cs="Meiryo"/>
      <w:b/>
      <w:bCs/>
      <w:color w:val="16314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40"/>
      <w:outlineLvl w:val="2"/>
    </w:pPr>
    <w:rPr>
      <w:rFonts w:asciiTheme="majorHAnsi" w:eastAsiaTheme="majorEastAsia" w:hAnsiTheme="majorHAnsi" w:cstheme="majorBidi" w:ascii="Meiryo" w:hAnsi="Meiryo" w:eastAsia="Meiryo" w:cs="Meiryo"/>
      <w:b/>
      <w:bCs/>
      <w:color w:val="243B5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Meiryo" w:hAnsi="Meiryo" w:eastAsia="Meiryo" w:cs="Meiryo"/>
      <w:color w:val="263238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Meiryo" w:hAnsi="Meiryo" w:eastAsia="Meiryo" w:cs="Meiryo"/>
      <w:color w:val="263238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Meiryo" w:hAnsi="Meiryo" w:eastAsia="Meiryo" w:cs="Meiryo"/>
      <w:color w:val="263238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Meiryo" w:hAnsi="Meiryo" w:eastAsia="Meiryo" w:cs="Meiryo"/>
      <w:color w:val="263238"/>
      <w:sz w:val="21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