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before="80" w:line="293" w:lineRule="auto"/>
      </w:pPr>
      <w:r>
        <w:rPr>
          <w:rFonts w:ascii="Meiryo" w:hAnsi="Meiryo" w:eastAsia="Meiryo" w:cs="Meiryo"/>
          <w:b/>
          <w:i w:val="0"/>
          <w:color w:val="B58A3A"/>
          <w:sz w:val="21"/>
        </w:rPr>
        <w:t>法務・総務のための社内研修資料20選    ｜    第9回 個人情報保護研修</w:t>
      </w:r>
    </w:p>
    <w:p>
      <w:pPr>
        <w:spacing w:after="40" w:before="0" w:line="259" w:lineRule="auto"/>
      </w:pPr>
      <w:r>
        <w:rPr>
          <w:rFonts w:ascii="Meiryo" w:hAnsi="Meiryo" w:eastAsia="Meiryo" w:cs="Meiryo"/>
          <w:b/>
          <w:i w:val="0"/>
          <w:color w:val="16314F"/>
          <w:sz w:val="48"/>
        </w:rPr>
        <w:t>研修 企画・運営ガイド</w:t>
      </w:r>
    </w:p>
    <w:p>
      <w:pPr>
        <w:spacing w:after="240" w:before="0" w:line="312" w:lineRule="auto"/>
      </w:pPr>
      <w:r>
        <w:rPr>
          <w:rFonts w:ascii="Meiryo" w:hAnsi="Meiryo" w:eastAsia="Meiryo" w:cs="Meiryo"/>
          <w:b w:val="0"/>
          <w:i w:val="0"/>
          <w:color w:val="243B53"/>
          <w:sz w:val="23"/>
        </w:rPr>
        <w:t>この個人情報保護研修を、自社で実施・カスタマイズするための手引き</w:t>
      </w:r>
    </w:p>
    <w:p>
      <w:pPr>
        <w:pBdr>
          <w:bottom w:val="single" w:sz="8" w:space="1" w:color="B58A3A"/>
        </w:pBdr>
        <w:spacing w:before="40" w:after="120"/>
      </w:pPr>
    </w:p>
    <w:p>
      <w:pPr>
        <w:spacing w:after="40" w:before="0" w:line="293" w:lineRule="auto"/>
      </w:pPr>
      <w:r>
        <w:rPr>
          <w:rFonts w:ascii="Meiryo" w:hAnsi="Meiryo" w:eastAsia="Meiryo" w:cs="Meiryo"/>
          <w:b w:val="0"/>
          <w:i w:val="0"/>
          <w:color w:val="64748B"/>
          <w:sz w:val="18"/>
        </w:rPr>
        <w:t>法令・制度基準日：2026年6月18日（令和2年改正個人情報保護法・施行済みの内容に基づく）</w:t>
      </w:r>
    </w:p>
    <w:p>
      <w:pPr>
        <w:spacing w:after="160" w:before="0" w:line="293" w:lineRule="auto"/>
      </w:pPr>
      <w:r>
        <w:rPr>
          <w:rFonts w:ascii="Meiryo" w:hAnsi="Meiryo" w:eastAsia="Meiryo" w:cs="Meiryo"/>
          <w:b w:val="0"/>
          <w:i w:val="0"/>
          <w:color w:val="64748B"/>
          <w:sz w:val="18"/>
        </w:rPr>
        <w:t>対象：研修を企画・運営する方（人事・総務・法務・コンプライアンス）　／　Legal GPT 社内研修資料</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16314F"/>
              <w:start w:val="single" w:sz="4" w:space="0" w:color="16314F"/>
              <w:bottom w:val="single" w:sz="4" w:space="0" w:color="16314F"/>
              <w:end w:val="single" w:sz="4" w:space="0" w:color="16314F"/>
            </w:tcBorders>
            <w:shd w:val="clear" w:color="auto" w:fill="EAF0F6"/>
            <w:tcMar>
              <w:top w:w="90" w:type="dxa"/>
              <w:start w:w="150" w:type="dxa"/>
              <w:bottom w:w="90" w:type="dxa"/>
              <w:end w:w="150" w:type="dxa"/>
            </w:tcMar>
          </w:tcPr>
          <w:p>
            <w:pPr>
              <w:spacing w:after="40" w:line="278" w:lineRule="auto"/>
            </w:pPr>
            <w:r/>
            <w:r>
              <w:rPr>
                <w:rFonts w:ascii="Meiryo" w:hAnsi="Meiryo" w:eastAsia="Meiryo" w:cs="Meiryo"/>
                <w:b/>
                <w:i w:val="0"/>
                <w:color w:val="16314F"/>
                <w:sz w:val="22"/>
              </w:rPr>
              <w:t>このガイドの位置づけ</w:t>
            </w:r>
          </w:p>
          <w:p>
            <w:pPr>
              <w:spacing w:after="40" w:line="283" w:lineRule="auto"/>
            </w:pPr>
            <w:r>
              <w:rPr>
                <w:rFonts w:ascii="Meiryo" w:hAnsi="Meiryo" w:eastAsia="Meiryo" w:cs="Meiryo"/>
                <w:b w:val="0"/>
                <w:i w:val="0"/>
                <w:color w:val="263238"/>
                <w:sz w:val="20"/>
              </w:rPr>
              <w:t>本ガイドは、研修を「企画・運営する人」向けです。当日の進行は別冊『講師台本』を、受講者への配布は各資料をお使いください。</w:t>
            </w:r>
          </w:p>
          <w:p>
            <w:pPr>
              <w:spacing w:after="40" w:line="283" w:lineRule="auto"/>
            </w:pPr>
            <w:r>
              <w:rPr>
                <w:rFonts w:ascii="Meiryo" w:hAnsi="Meiryo" w:eastAsia="Meiryo" w:cs="Meiryo"/>
                <w:b w:val="0"/>
                <w:i w:val="0"/>
                <w:color w:val="263238"/>
                <w:sz w:val="20"/>
              </w:rPr>
              <w:t>この研修一式は、令和2年改正個人情報保護法（施行済み）の内容に基づく汎用のひな形です。そのまま使うのではなく、自社の規程・報告ルート・事例に合わせて調整することを前提にしています。</w:t>
            </w:r>
          </w:p>
        </w:tc>
      </w:tr>
    </w:tbl>
    <w:p>
      <w:pPr>
        <w:spacing w:after="0" w:before="0"/>
      </w:pPr>
      <w:r>
        <w:rPr>
          <w:sz w:val="8"/>
        </w:rPr>
      </w:r>
    </w:p>
    <w:p>
      <w:pPr>
        <w:pStyle w:val="Heading1"/>
        <w:pBdr>
          <w:bottom w:val="single" w:sz="10" w:space="3" w:color="B58A3A"/>
        </w:pBdr>
      </w:pPr>
      <w:r>
        <w:rPr>
          <w:rFonts w:ascii="Meiryo" w:hAnsi="Meiryo" w:eastAsia="Meiryo" w:cs="Meiryo"/>
          <w:b/>
          <w:i w:val="0"/>
          <w:color w:val="16314F"/>
          <w:sz w:val="30"/>
        </w:rPr>
        <w:t>1　研修一式の構成</w:t>
      </w:r>
    </w:p>
    <w:p>
      <w:pPr>
        <w:spacing w:after="120" w:before="0" w:line="293" w:lineRule="auto"/>
      </w:pPr>
      <w:r>
        <w:rPr>
          <w:rFonts w:ascii="Meiryo" w:hAnsi="Meiryo" w:eastAsia="Meiryo" w:cs="Meiryo"/>
          <w:b w:val="0"/>
          <w:i w:val="0"/>
          <w:color w:val="263238"/>
          <w:sz w:val="21"/>
        </w:rPr>
        <w:t>本研修は次の10点で構成されています。役割を理解して配布・活用してください。</w:t>
      </w:r>
    </w:p>
    <w:tbl>
      <w:tblPr>
        <w:tblW w:w="9600" w:type="dxa"/>
        <w:jc w:val="left"/>
        <w:tblLayout w:type="fixed"/>
        <w:tblLook w:firstColumn="1" w:firstRow="1" w:lastColumn="0" w:lastRow="0" w:noHBand="0" w:noVBand="1" w:val="04A0"/>
      </w:tblPr>
      <w:tblGrid>
        <w:gridCol w:w="2900"/>
        <w:gridCol w:w="4500"/>
        <w:gridCol w:w="2200"/>
      </w:tblGrid>
      <w:tr>
        <w:tc>
          <w:tcPr>
            <w:tcW w:type="dxa" w:w="29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資料</w:t>
            </w:r>
          </w:p>
        </w:tc>
        <w:tc>
          <w:tcPr>
            <w:tcW w:type="dxa" w:w="45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主な用途</w:t>
            </w:r>
          </w:p>
        </w:tc>
        <w:tc>
          <w:tcPr>
            <w:tcW w:type="dxa" w:w="22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配布先</w:t>
            </w:r>
          </w:p>
        </w:tc>
      </w:tr>
      <w:tr>
        <w:tc>
          <w:tcPr>
            <w:tcW w:type="dxa" w:w="29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スライド資料（PPTX）</w:t>
            </w:r>
          </w:p>
        </w:tc>
        <w:tc>
          <w:tcPr>
            <w:tcW w:type="dxa" w:w="45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研修当日の投影用</w:t>
            </w:r>
          </w:p>
        </w:tc>
        <w:tc>
          <w:tcPr>
            <w:tcW w:type="dxa" w:w="22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—（投影）</w:t>
            </w:r>
          </w:p>
        </w:tc>
      </w:tr>
      <w:tr>
        <w:tc>
          <w:tcPr>
            <w:tcW w:type="dxa" w:w="29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ハンドブック</w:t>
            </w:r>
          </w:p>
        </w:tc>
        <w:tc>
          <w:tcPr>
            <w:tcW w:type="dxa" w:w="45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全社員の自習・通読用</w:t>
            </w:r>
          </w:p>
        </w:tc>
        <w:tc>
          <w:tcPr>
            <w:tcW w:type="dxa" w:w="22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全社員</w:t>
            </w:r>
          </w:p>
        </w:tc>
      </w:tr>
      <w:tr>
        <w:tc>
          <w:tcPr>
            <w:tcW w:type="dxa" w:w="29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初動対応・事故報告ツールキット</w:t>
            </w:r>
          </w:p>
        </w:tc>
        <w:tc>
          <w:tcPr>
            <w:tcW w:type="dxa" w:w="45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事故時の初動と記録の書式</w:t>
            </w:r>
          </w:p>
        </w:tc>
        <w:tc>
          <w:tcPr>
            <w:tcW w:type="dxa" w:w="22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全社員・管理職・関係部署</w:t>
            </w:r>
          </w:p>
        </w:tc>
      </w:tr>
      <w:tr>
        <w:tc>
          <w:tcPr>
            <w:tcW w:type="dxa" w:w="29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チェックリスト</w:t>
            </w:r>
          </w:p>
        </w:tc>
        <w:tc>
          <w:tcPr>
            <w:tcW w:type="dxa" w:w="45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送信・共有・持出し・AI入力前の確認</w:t>
            </w:r>
          </w:p>
        </w:tc>
        <w:tc>
          <w:tcPr>
            <w:tcW w:type="dxa" w:w="22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全社員</w:t>
            </w:r>
          </w:p>
        </w:tc>
      </w:tr>
      <w:tr>
        <w:tc>
          <w:tcPr>
            <w:tcW w:type="dxa" w:w="29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ケースワークブック</w:t>
            </w:r>
          </w:p>
        </w:tc>
        <w:tc>
          <w:tcPr>
            <w:tcW w:type="dxa" w:w="45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8ケースの検討ワーク</w:t>
            </w:r>
          </w:p>
        </w:tc>
        <w:tc>
          <w:tcPr>
            <w:tcW w:type="dxa" w:w="22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受講者</w:t>
            </w:r>
          </w:p>
        </w:tc>
      </w:tr>
      <w:tr>
        <w:tc>
          <w:tcPr>
            <w:tcW w:type="dxa" w:w="29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確認テスト</w:t>
            </w:r>
          </w:p>
        </w:tc>
        <w:tc>
          <w:tcPr>
            <w:tcW w:type="dxa" w:w="45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理解度の確認（解答なし）</w:t>
            </w:r>
          </w:p>
        </w:tc>
        <w:tc>
          <w:tcPr>
            <w:tcW w:type="dxa" w:w="22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受講者</w:t>
            </w:r>
          </w:p>
        </w:tc>
      </w:tr>
      <w:tr>
        <w:tc>
          <w:tcPr>
            <w:tcW w:type="dxa" w:w="29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解答・解説</w:t>
            </w:r>
          </w:p>
        </w:tc>
        <w:tc>
          <w:tcPr>
            <w:tcW w:type="dxa" w:w="45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テストの答え合わせ・解説</w:t>
            </w:r>
          </w:p>
        </w:tc>
        <w:tc>
          <w:tcPr>
            <w:tcW w:type="dxa" w:w="22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受講後に配布／講師</w:t>
            </w:r>
          </w:p>
        </w:tc>
      </w:tr>
      <w:tr>
        <w:tc>
          <w:tcPr>
            <w:tcW w:type="dxa" w:w="29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講師台本</w:t>
            </w:r>
          </w:p>
        </w:tc>
        <w:tc>
          <w:tcPr>
            <w:tcW w:type="dxa" w:w="45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当日の進行・時間配分・想定質問</w:t>
            </w:r>
          </w:p>
        </w:tc>
        <w:tc>
          <w:tcPr>
            <w:tcW w:type="dxa" w:w="22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講師・進行担当</w:t>
            </w:r>
          </w:p>
        </w:tc>
      </w:tr>
      <w:tr>
        <w:tc>
          <w:tcPr>
            <w:tcW w:type="dxa" w:w="29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企画・運営ガイド（本書）</w:t>
            </w:r>
          </w:p>
        </w:tc>
        <w:tc>
          <w:tcPr>
            <w:tcW w:type="dxa" w:w="45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企画・カスタマイズ・運営</w:t>
            </w:r>
          </w:p>
        </w:tc>
        <w:tc>
          <w:tcPr>
            <w:tcW w:type="dxa" w:w="22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研修担当</w:t>
            </w:r>
          </w:p>
        </w:tc>
      </w:tr>
      <w:tr>
        <w:tc>
          <w:tcPr>
            <w:tcW w:type="dxa" w:w="29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ブログ記事（HTML）</w:t>
            </w:r>
          </w:p>
        </w:tc>
        <w:tc>
          <w:tcPr>
            <w:tcW w:type="dxa" w:w="45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社内ポータル等での案内・告知</w:t>
            </w:r>
          </w:p>
        </w:tc>
        <w:tc>
          <w:tcPr>
            <w:tcW w:type="dxa" w:w="22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—（掲載用）</w:t>
            </w:r>
          </w:p>
        </w:tc>
      </w:tr>
    </w:tbl>
    <w:p>
      <w:pPr>
        <w:spacing w:after="0" w:before="0"/>
      </w:pPr>
      <w:r>
        <w:rPr>
          <w:sz w:val="8"/>
        </w:rPr>
      </w:r>
    </w:p>
    <w:p>
      <w:pPr>
        <w:pStyle w:val="Heading1"/>
        <w:pBdr>
          <w:bottom w:val="single" w:sz="10" w:space="3" w:color="B58A3A"/>
        </w:pBdr>
      </w:pPr>
      <w:r>
        <w:rPr>
          <w:rFonts w:ascii="Meiryo" w:hAnsi="Meiryo" w:eastAsia="Meiryo" w:cs="Meiryo"/>
          <w:b/>
          <w:i w:val="0"/>
          <w:color w:val="16314F"/>
          <w:sz w:val="30"/>
        </w:rPr>
        <w:t>2　実施パターンの選び方</w:t>
      </w:r>
    </w:p>
    <w:tbl>
      <w:tblPr>
        <w:tblW w:w="9600" w:type="dxa"/>
        <w:jc w:val="left"/>
        <w:tblLayout w:type="fixed"/>
        <w:tblLook w:firstColumn="1" w:firstRow="1" w:lastColumn="0" w:lastRow="0" w:noHBand="0" w:noVBand="1" w:val="04A0"/>
      </w:tblPr>
      <w:tblGrid>
        <w:gridCol w:w="1900"/>
        <w:gridCol w:w="1700"/>
        <w:gridCol w:w="6000"/>
      </w:tblGrid>
      <w:tr>
        <w:tc>
          <w:tcPr>
            <w:tcW w:type="dxa" w:w="19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パターン</w:t>
            </w:r>
          </w:p>
        </w:tc>
        <w:tc>
          <w:tcPr>
            <w:tcW w:type="dxa" w:w="17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時間</w:t>
            </w:r>
          </w:p>
        </w:tc>
        <w:tc>
          <w:tcPr>
            <w:tcW w:type="dxa" w:w="60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向いている場面</w:t>
            </w:r>
          </w:p>
        </w:tc>
      </w:tr>
      <w:tr>
        <w:tc>
          <w:tcPr>
            <w:tcW w:type="dxa" w:w="19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短縮版</w:t>
            </w:r>
          </w:p>
        </w:tc>
        <w:tc>
          <w:tcPr>
            <w:tcW w:type="dxa" w:w="17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jc w:val="center"/>
            </w:pPr>
            <w:r/>
            <w:r>
              <w:rPr>
                <w:rFonts w:ascii="Meiryo" w:hAnsi="Meiryo" w:eastAsia="Meiryo" w:cs="Meiryo"/>
                <w:b w:val="0"/>
                <w:i w:val="0"/>
                <w:color w:val="263238"/>
                <w:sz w:val="20"/>
              </w:rPr>
              <w:t>約30分</w:t>
            </w:r>
          </w:p>
        </w:tc>
        <w:tc>
          <w:tcPr>
            <w:tcW w:type="dxa" w:w="6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全社一斉の最低限の周知。スライド＋テストに絞る</w:t>
            </w:r>
          </w:p>
        </w:tc>
      </w:tr>
      <w:tr>
        <w:tc>
          <w:tcPr>
            <w:tcW w:type="dxa" w:w="19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標準版</w:t>
            </w:r>
          </w:p>
        </w:tc>
        <w:tc>
          <w:tcPr>
            <w:tcW w:type="dxa" w:w="17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jc w:val="center"/>
            </w:pPr>
            <w:r/>
            <w:r>
              <w:rPr>
                <w:rFonts w:ascii="Meiryo" w:hAnsi="Meiryo" w:eastAsia="Meiryo" w:cs="Meiryo"/>
                <w:b w:val="0"/>
                <w:i w:val="0"/>
                <w:color w:val="263238"/>
                <w:sz w:val="20"/>
              </w:rPr>
              <w:t>45〜55分</w:t>
            </w:r>
          </w:p>
        </w:tc>
        <w:tc>
          <w:tcPr>
            <w:tcW w:type="dxa" w:w="6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通常の集合・オンライン研修。ケースを2〜3件扱う</w:t>
            </w:r>
          </w:p>
        </w:tc>
      </w:tr>
      <w:tr>
        <w:tc>
          <w:tcPr>
            <w:tcW w:type="dxa" w:w="19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拡張版</w:t>
            </w:r>
          </w:p>
        </w:tc>
        <w:tc>
          <w:tcPr>
            <w:tcW w:type="dxa" w:w="17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jc w:val="center"/>
            </w:pPr>
            <w:r/>
            <w:r>
              <w:rPr>
                <w:rFonts w:ascii="Meiryo" w:hAnsi="Meiryo" w:eastAsia="Meiryo" w:cs="Meiryo"/>
                <w:b w:val="0"/>
                <w:i w:val="0"/>
                <w:color w:val="263238"/>
                <w:sz w:val="20"/>
              </w:rPr>
              <w:t>70〜80分</w:t>
            </w:r>
          </w:p>
        </w:tc>
        <w:tc>
          <w:tcPr>
            <w:tcW w:type="dxa" w:w="60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関係部署向けの重点研修。ケースワークと報告ルート確認を厚くする</w:t>
            </w:r>
          </w:p>
        </w:tc>
      </w:tr>
      <w:tr>
        <w:tc>
          <w:tcPr>
            <w:tcW w:type="dxa" w:w="19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eラーニング化</w:t>
            </w:r>
          </w:p>
        </w:tc>
        <w:tc>
          <w:tcPr>
            <w:tcW w:type="dxa" w:w="17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jc w:val="center"/>
            </w:pPr>
            <w:r/>
            <w:r>
              <w:rPr>
                <w:rFonts w:ascii="Meiryo" w:hAnsi="Meiryo" w:eastAsia="Meiryo" w:cs="Meiryo"/>
                <w:b w:val="0"/>
                <w:i w:val="0"/>
                <w:color w:val="263238"/>
                <w:sz w:val="20"/>
              </w:rPr>
              <w:t>—</w:t>
            </w:r>
          </w:p>
        </w:tc>
        <w:tc>
          <w:tcPr>
            <w:tcW w:type="dxa" w:w="60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スライドPDF＋テストを配信。設問を自動採点に置き換える</w:t>
            </w:r>
          </w:p>
        </w:tc>
      </w:tr>
    </w:tbl>
    <w:p>
      <w:pPr>
        <w:spacing w:after="0" w:before="0"/>
      </w:pPr>
      <w:r>
        <w:rPr>
          <w:sz w:val="8"/>
        </w:rPr>
      </w:r>
    </w:p>
    <w:p>
      <w:pPr>
        <w:spacing w:after="80" w:before="0" w:line="288" w:lineRule="auto"/>
      </w:pPr>
      <w:r>
        <w:rPr>
          <w:rFonts w:ascii="Meiryo" w:hAnsi="Meiryo" w:eastAsia="Meiryo" w:cs="Meiryo"/>
          <w:b w:val="0"/>
          <w:i w:val="0"/>
          <w:color w:val="64748B"/>
          <w:sz w:val="19"/>
        </w:rPr>
        <w:t>対象人数が多い場合は、まず全社一斉で短縮版を行い、関係部署に拡張版を別途実施する二段構えが有効です。</w:t>
      </w:r>
    </w:p>
    <w:p>
      <w:pPr>
        <w:pStyle w:val="Heading2"/>
        <w:pBdr>
          <w:bottom w:val="single" w:sz="6" w:space="3" w:color="D7DEE6"/>
        </w:pBdr>
      </w:pPr>
      <w:r>
        <w:rPr>
          <w:rFonts w:ascii="Meiryo" w:hAnsi="Meiryo" w:eastAsia="Meiryo" w:cs="Meiryo"/>
          <w:b/>
          <w:i w:val="0"/>
          <w:color w:val="16314F"/>
          <w:sz w:val="25"/>
        </w:rPr>
        <w:t>対象者別の重点</w:t>
      </w:r>
    </w:p>
    <w:tbl>
      <w:tblPr>
        <w:tblW w:w="9600" w:type="dxa"/>
        <w:jc w:val="left"/>
        <w:tblLayout w:type="fixed"/>
        <w:tblLook w:firstColumn="1" w:firstRow="1" w:lastColumn="0" w:lastRow="0" w:noHBand="0" w:noVBand="1" w:val="04A0"/>
      </w:tblPr>
      <w:tblGrid>
        <w:gridCol w:w="2400"/>
        <w:gridCol w:w="7200"/>
      </w:tblGrid>
      <w:tr>
        <w:tc>
          <w:tcPr>
            <w:tcW w:type="dxa" w:w="24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対象</w:t>
            </w:r>
          </w:p>
        </w:tc>
        <w:tc>
          <w:tcPr>
            <w:tcW w:type="dxa" w:w="7200"/>
            <w:tcBorders>
              <w:top w:val="single" w:sz="4" w:space="0" w:color="16314F"/>
              <w:start w:val="single" w:sz="4" w:space="0" w:color="16314F"/>
              <w:bottom w:val="single" w:sz="4" w:space="0" w:color="16314F"/>
              <w:end w:val="single" w:sz="4" w:space="0" w:color="16314F"/>
            </w:tcBorders>
            <w:shd w:val="clear" w:color="auto" w:fill="16314F"/>
            <w:tcMar>
              <w:top w:w="70" w:type="dxa"/>
              <w:start w:w="110" w:type="dxa"/>
              <w:bottom w:w="70" w:type="dxa"/>
              <w:end w:w="110" w:type="dxa"/>
            </w:tcMar>
            <w:vAlign w:val="center"/>
          </w:tcPr>
          <w:p>
            <w:pPr>
              <w:spacing w:after="0" w:before="0" w:line="278" w:lineRule="auto"/>
              <w:jc w:val="center"/>
            </w:pPr>
            <w:r/>
            <w:r>
              <w:rPr>
                <w:rFonts w:ascii="Meiryo" w:hAnsi="Meiryo" w:eastAsia="Meiryo" w:cs="Meiryo"/>
                <w:b/>
                <w:i w:val="0"/>
                <w:color w:val="FFFFFF"/>
                <w:sz w:val="20"/>
              </w:rPr>
              <w:t>特に強調したい点</w:t>
            </w:r>
          </w:p>
        </w:tc>
      </w:tr>
      <w:tr>
        <w:tc>
          <w:tcPr>
            <w:tcW w:type="dxa" w:w="24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全社員</w:t>
            </w:r>
          </w:p>
        </w:tc>
        <w:tc>
          <w:tcPr>
            <w:tcW w:type="dxa" w:w="72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個人情報はどの部署にもある／送る前のひと呼吸／隠さず・消さず・すぐ報告</w:t>
            </w:r>
          </w:p>
        </w:tc>
      </w:tr>
      <w:tr>
        <w:tc>
          <w:tcPr>
            <w:tcW w:type="dxa" w:w="24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管理職</w:t>
            </w:r>
          </w:p>
        </w:tc>
        <w:tc>
          <w:tcPr>
            <w:tcW w:type="dxa" w:w="72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報告を受けたときの初動／部下を責めず正規ルートへ／報告の遅れの影響</w:t>
            </w:r>
          </w:p>
        </w:tc>
      </w:tr>
      <w:tr>
        <w:tc>
          <w:tcPr>
            <w:tcW w:type="dxa" w:w="24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新入社員・異動者</w:t>
            </w:r>
          </w:p>
        </w:tc>
        <w:tc>
          <w:tcPr>
            <w:tcW w:type="dxa" w:w="7200"/>
            <w:tcBorders>
              <w:top w:val="single" w:sz="4" w:space="0" w:color="D7DEE6"/>
              <w:start w:val="single" w:sz="4" w:space="0" w:color="D7DEE6"/>
              <w:bottom w:val="single" w:sz="4" w:space="0" w:color="D7DEE6"/>
              <w:end w:val="single" w:sz="4" w:space="0" w:color="D7DEE6"/>
            </w:tcBorders>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用語の基礎／メール宛先とクラウド共有の基本操作／相談先の周知</w:t>
            </w:r>
          </w:p>
        </w:tc>
      </w:tr>
      <w:tr>
        <w:tc>
          <w:tcPr>
            <w:tcW w:type="dxa" w:w="24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委託先管理・調達担当</w:t>
            </w:r>
          </w:p>
        </w:tc>
        <w:tc>
          <w:tcPr>
            <w:tcW w:type="dxa" w:w="7200"/>
            <w:tcBorders>
              <w:top w:val="single" w:sz="4" w:space="0" w:color="D7DEE6"/>
              <w:start w:val="single" w:sz="4" w:space="0" w:color="D7DEE6"/>
              <w:bottom w:val="single" w:sz="4" w:space="0" w:color="D7DEE6"/>
              <w:end w:val="single" w:sz="4" w:space="0" w:color="D7DEE6"/>
            </w:tcBorders>
            <w:shd w:val="clear" w:color="auto" w:fill="F6F8FA"/>
            <w:tcMar>
              <w:top w:w="70" w:type="dxa"/>
              <w:start w:w="110" w:type="dxa"/>
              <w:bottom w:w="70" w:type="dxa"/>
              <w:end w:w="110" w:type="dxa"/>
            </w:tcMar>
            <w:vAlign w:val="center"/>
          </w:tcPr>
          <w:p>
            <w:pPr>
              <w:spacing w:after="0" w:before="0" w:line="278" w:lineRule="auto"/>
            </w:pPr>
            <w:r/>
            <w:r>
              <w:rPr>
                <w:rFonts w:ascii="Meiryo" w:hAnsi="Meiryo" w:eastAsia="Meiryo" w:cs="Meiryo"/>
                <w:b w:val="0"/>
                <w:i w:val="0"/>
                <w:color w:val="263238"/>
                <w:sz w:val="20"/>
              </w:rPr>
              <w:t>委託先の監督／委託先事故時の連携／契約・報告体制の確認</w:t>
            </w:r>
          </w:p>
        </w:tc>
      </w:tr>
    </w:tbl>
    <w:p>
      <w:pPr>
        <w:spacing w:after="0" w:before="0"/>
      </w:pPr>
      <w:r>
        <w:rPr>
          <w:sz w:val="8"/>
        </w:rPr>
      </w:r>
    </w:p>
    <w:p>
      <w:r>
        <w:br w:type="page"/>
      </w:r>
    </w:p>
    <w:p>
      <w:pPr>
        <w:pStyle w:val="Heading1"/>
        <w:pBdr>
          <w:bottom w:val="single" w:sz="10" w:space="3" w:color="B58A3A"/>
        </w:pBdr>
      </w:pPr>
      <w:r>
        <w:rPr>
          <w:rFonts w:ascii="Meiryo" w:hAnsi="Meiryo" w:eastAsia="Meiryo" w:cs="Meiryo"/>
          <w:b/>
          <w:i w:val="0"/>
          <w:color w:val="16314F"/>
          <w:sz w:val="30"/>
        </w:rPr>
        <w:t>3　自社カスタマイズ チェックリスト</w:t>
      </w:r>
    </w:p>
    <w:p>
      <w:pPr>
        <w:spacing w:after="120" w:before="0" w:line="293" w:lineRule="auto"/>
      </w:pPr>
      <w:r>
        <w:rPr>
          <w:rFonts w:ascii="Meiryo" w:hAnsi="Meiryo" w:eastAsia="Meiryo" w:cs="Meiryo"/>
          <w:b w:val="0"/>
          <w:i w:val="0"/>
          <w:color w:val="263238"/>
          <w:sz w:val="21"/>
        </w:rPr>
        <w:t>配布・実施の前に、次の項目を自社向けに調整してください。特に【必須】は、未対応のまま配布しないようにします。</w:t>
      </w:r>
    </w:p>
    <w:p>
      <w:pPr>
        <w:pStyle w:val="Heading2"/>
        <w:pBdr>
          <w:bottom w:val="single" w:sz="6" w:space="3" w:color="D7DEE6"/>
        </w:pBdr>
      </w:pPr>
      <w:r>
        <w:rPr>
          <w:rFonts w:ascii="Meiryo" w:hAnsi="Meiryo" w:eastAsia="Meiryo" w:cs="Meiryo"/>
          <w:b/>
          <w:i w:val="0"/>
          <w:color w:val="16314F"/>
          <w:sz w:val="25"/>
        </w:rPr>
        <w:t>必須（配布前に必ず対応）</w:t>
      </w:r>
    </w:p>
    <w:p>
      <w:pPr>
        <w:spacing w:after="60" w:line="283" w:lineRule="auto"/>
        <w:ind w:left="340" w:hanging="340"/>
      </w:pPr>
      <w:r>
        <w:rPr>
          <w:rFonts w:ascii="Meiryo" w:hAnsi="Meiryo" w:eastAsia="Meiryo" w:cs="Meiryo"/>
          <w:b/>
          <w:i w:val="0"/>
          <w:color w:val="16314F"/>
          <w:sz w:val="22"/>
        </w:rPr>
        <w:t xml:space="preserve">☐　</w:t>
      </w:r>
      <w:r>
        <w:rPr>
          <w:rFonts w:ascii="Meiryo" w:hAnsi="Meiryo" w:eastAsia="Meiryo" w:cs="Meiryo"/>
          <w:b w:val="0"/>
          <w:i w:val="0"/>
          <w:color w:val="263238"/>
          <w:sz w:val="21"/>
        </w:rPr>
        <w:t>各資料の【要自社記入：報告先】に、自社の第一報連絡先・主管部署・時間外連絡方法を記入した</w:t>
      </w:r>
    </w:p>
    <w:p>
      <w:pPr>
        <w:spacing w:after="60" w:line="283" w:lineRule="auto"/>
        <w:ind w:left="340" w:hanging="340"/>
      </w:pPr>
      <w:r>
        <w:rPr>
          <w:rFonts w:ascii="Meiryo" w:hAnsi="Meiryo" w:eastAsia="Meiryo" w:cs="Meiryo"/>
          <w:b/>
          <w:i w:val="0"/>
          <w:color w:val="16314F"/>
          <w:sz w:val="22"/>
        </w:rPr>
        <w:t xml:space="preserve">☐　</w:t>
      </w:r>
      <w:r>
        <w:rPr>
          <w:rFonts w:ascii="Meiryo" w:hAnsi="Meiryo" w:eastAsia="Meiryo" w:cs="Meiryo"/>
          <w:b w:val="0"/>
          <w:i w:val="0"/>
          <w:color w:val="263238"/>
          <w:sz w:val="21"/>
        </w:rPr>
        <w:t>自社の個人情報取扱規程・事故対応手順の正式名称と保管場所を記入した</w:t>
      </w:r>
    </w:p>
    <w:p>
      <w:pPr>
        <w:spacing w:after="60" w:line="283" w:lineRule="auto"/>
        <w:ind w:left="340" w:hanging="340"/>
      </w:pPr>
      <w:r>
        <w:rPr>
          <w:rFonts w:ascii="Meiryo" w:hAnsi="Meiryo" w:eastAsia="Meiryo" w:cs="Meiryo"/>
          <w:b/>
          <w:i w:val="0"/>
          <w:color w:val="16314F"/>
          <w:sz w:val="22"/>
        </w:rPr>
        <w:t xml:space="preserve">☐　</w:t>
      </w:r>
      <w:r>
        <w:rPr>
          <w:rFonts w:ascii="Meiryo" w:hAnsi="Meiryo" w:eastAsia="Meiryo" w:cs="Meiryo"/>
          <w:b w:val="0"/>
          <w:i w:val="0"/>
          <w:color w:val="263238"/>
          <w:sz w:val="21"/>
        </w:rPr>
        <w:t>報告ルート（誰へ→誰へ）が、自社の実際のフローと一致しているか確認した</w:t>
      </w:r>
    </w:p>
    <w:p>
      <w:pPr>
        <w:spacing w:after="60" w:line="283" w:lineRule="auto"/>
        <w:ind w:left="340" w:hanging="340"/>
      </w:pPr>
      <w:r>
        <w:rPr>
          <w:rFonts w:ascii="Meiryo" w:hAnsi="Meiryo" w:eastAsia="Meiryo" w:cs="Meiryo"/>
          <w:b/>
          <w:i w:val="0"/>
          <w:color w:val="16314F"/>
          <w:sz w:val="22"/>
        </w:rPr>
        <w:t xml:space="preserve">☐　</w:t>
      </w:r>
      <w:r>
        <w:rPr>
          <w:rFonts w:ascii="Meiryo" w:hAnsi="Meiryo" w:eastAsia="Meiryo" w:cs="Meiryo"/>
          <w:b w:val="0"/>
          <w:i w:val="0"/>
          <w:color w:val="263238"/>
          <w:sz w:val="21"/>
        </w:rPr>
        <w:t>本人通知・委員会報告の要否を判断する主管部署名を、自社の体制に合わせて明記した</w:t>
      </w:r>
    </w:p>
    <w:p>
      <w:pPr>
        <w:spacing w:after="60" w:line="283" w:lineRule="auto"/>
        <w:ind w:left="340" w:hanging="340"/>
      </w:pPr>
      <w:r>
        <w:rPr>
          <w:rFonts w:ascii="Meiryo" w:hAnsi="Meiryo" w:eastAsia="Meiryo" w:cs="Meiryo"/>
          <w:b/>
          <w:i w:val="0"/>
          <w:color w:val="16314F"/>
          <w:sz w:val="22"/>
        </w:rPr>
        <w:t xml:space="preserve">☐　</w:t>
      </w:r>
      <w:r>
        <w:rPr>
          <w:rFonts w:ascii="Meiryo" w:hAnsi="Meiryo" w:eastAsia="Meiryo" w:cs="Meiryo"/>
          <w:b w:val="0"/>
          <w:i w:val="0"/>
          <w:color w:val="263238"/>
          <w:sz w:val="21"/>
        </w:rPr>
        <w:t>利用してよい社内ツール・クラウド・AIの名称や範囲を、自社の方針に合わせて補足した</w:t>
      </w:r>
    </w:p>
    <w:p>
      <w:pPr>
        <w:pStyle w:val="Heading2"/>
        <w:pBdr>
          <w:bottom w:val="single" w:sz="6" w:space="3" w:color="D7DEE6"/>
        </w:pBdr>
      </w:pPr>
      <w:r>
        <w:rPr>
          <w:rFonts w:ascii="Meiryo" w:hAnsi="Meiryo" w:eastAsia="Meiryo" w:cs="Meiryo"/>
          <w:b/>
          <w:i w:val="0"/>
          <w:color w:val="16314F"/>
          <w:sz w:val="25"/>
        </w:rPr>
        <w:t>推奨（実施効果を高める）</w:t>
      </w:r>
    </w:p>
    <w:p>
      <w:pPr>
        <w:spacing w:after="60" w:line="283" w:lineRule="auto"/>
        <w:ind w:left="340" w:hanging="340"/>
      </w:pPr>
      <w:r>
        <w:rPr>
          <w:rFonts w:ascii="Meiryo" w:hAnsi="Meiryo" w:eastAsia="Meiryo" w:cs="Meiryo"/>
          <w:b/>
          <w:i w:val="0"/>
          <w:color w:val="16314F"/>
          <w:sz w:val="22"/>
        </w:rPr>
        <w:t xml:space="preserve">☐　</w:t>
      </w:r>
      <w:r>
        <w:rPr>
          <w:rFonts w:ascii="Meiryo" w:hAnsi="Meiryo" w:eastAsia="Meiryo" w:cs="Meiryo"/>
          <w:b w:val="0"/>
          <w:i w:val="0"/>
          <w:color w:val="263238"/>
          <w:sz w:val="21"/>
        </w:rPr>
        <w:t>自社・同業で起きたヒヤリ事例を、個人が特定されない形で1〜2件追加した</w:t>
      </w:r>
    </w:p>
    <w:p>
      <w:pPr>
        <w:spacing w:after="60" w:line="283" w:lineRule="auto"/>
        <w:ind w:left="340" w:hanging="340"/>
      </w:pPr>
      <w:r>
        <w:rPr>
          <w:rFonts w:ascii="Meiryo" w:hAnsi="Meiryo" w:eastAsia="Meiryo" w:cs="Meiryo"/>
          <w:b/>
          <w:i w:val="0"/>
          <w:color w:val="16314F"/>
          <w:sz w:val="22"/>
        </w:rPr>
        <w:t xml:space="preserve">☐　</w:t>
      </w:r>
      <w:r>
        <w:rPr>
          <w:rFonts w:ascii="Meiryo" w:hAnsi="Meiryo" w:eastAsia="Meiryo" w:cs="Meiryo"/>
          <w:b w:val="0"/>
          <w:i w:val="0"/>
          <w:color w:val="263238"/>
          <w:sz w:val="21"/>
        </w:rPr>
        <w:t>自社で扱う代表的な個人情報・要配慮情報の例に、業務実態を反映した</w:t>
      </w:r>
    </w:p>
    <w:p>
      <w:pPr>
        <w:spacing w:after="60" w:line="283" w:lineRule="auto"/>
        <w:ind w:left="340" w:hanging="340"/>
      </w:pPr>
      <w:r>
        <w:rPr>
          <w:rFonts w:ascii="Meiryo" w:hAnsi="Meiryo" w:eastAsia="Meiryo" w:cs="Meiryo"/>
          <w:b/>
          <w:i w:val="0"/>
          <w:color w:val="16314F"/>
          <w:sz w:val="22"/>
        </w:rPr>
        <w:t xml:space="preserve">☐　</w:t>
      </w:r>
      <w:r>
        <w:rPr>
          <w:rFonts w:ascii="Meiryo" w:hAnsi="Meiryo" w:eastAsia="Meiryo" w:cs="Meiryo"/>
          <w:b w:val="0"/>
          <w:i w:val="0"/>
          <w:color w:val="263238"/>
          <w:sz w:val="21"/>
        </w:rPr>
        <w:t>ケースを自社の業務（顧客対応・採用・委託など）に近いものへ差し替えた</w:t>
      </w:r>
    </w:p>
    <w:p>
      <w:pPr>
        <w:spacing w:after="60" w:line="283" w:lineRule="auto"/>
        <w:ind w:left="340" w:hanging="340"/>
      </w:pPr>
      <w:r>
        <w:rPr>
          <w:rFonts w:ascii="Meiryo" w:hAnsi="Meiryo" w:eastAsia="Meiryo" w:cs="Meiryo"/>
          <w:b/>
          <w:i w:val="0"/>
          <w:color w:val="16314F"/>
          <w:sz w:val="22"/>
        </w:rPr>
        <w:t xml:space="preserve">☐　</w:t>
      </w:r>
      <w:r>
        <w:rPr>
          <w:rFonts w:ascii="Meiryo" w:hAnsi="Meiryo" w:eastAsia="Meiryo" w:cs="Meiryo"/>
          <w:b w:val="0"/>
          <w:i w:val="0"/>
          <w:color w:val="263238"/>
          <w:sz w:val="21"/>
        </w:rPr>
        <w:t>確認テストの配点・合格ラインを決めた（自動採点にする場合は設問形式を調整した）</w:t>
      </w:r>
    </w:p>
    <w:p>
      <w:pPr>
        <w:spacing w:after="60" w:line="283" w:lineRule="auto"/>
        <w:ind w:left="340" w:hanging="340"/>
      </w:pPr>
      <w:r>
        <w:rPr>
          <w:rFonts w:ascii="Meiryo" w:hAnsi="Meiryo" w:eastAsia="Meiryo" w:cs="Meiryo"/>
          <w:b/>
          <w:i w:val="0"/>
          <w:color w:val="16314F"/>
          <w:sz w:val="22"/>
        </w:rPr>
        <w:t xml:space="preserve">☐　</w:t>
      </w:r>
      <w:r>
        <w:rPr>
          <w:rFonts w:ascii="Meiryo" w:hAnsi="Meiryo" w:eastAsia="Meiryo" w:cs="Meiryo"/>
          <w:b w:val="0"/>
          <w:i w:val="0"/>
          <w:color w:val="263238"/>
          <w:sz w:val="21"/>
        </w:rPr>
        <w:t>受講対象・実施時期・受講方法（集合／オンライン／eラーニング）を確定した</w:t>
      </w:r>
    </w:p>
    <w:p>
      <w:pPr>
        <w:pStyle w:val="Heading2"/>
        <w:pBdr>
          <w:bottom w:val="single" w:sz="6" w:space="3" w:color="D7DEE6"/>
        </w:pBdr>
      </w:pPr>
      <w:r>
        <w:rPr>
          <w:rFonts w:ascii="Meiryo" w:hAnsi="Meiryo" w:eastAsia="Meiryo" w:cs="Meiryo"/>
          <w:b/>
          <w:i w:val="0"/>
          <w:color w:val="16314F"/>
          <w:sz w:val="25"/>
        </w:rPr>
        <w:t>確認（社内の他施策との整合）</w:t>
      </w:r>
    </w:p>
    <w:p>
      <w:pPr>
        <w:spacing w:after="60" w:line="283" w:lineRule="auto"/>
        <w:ind w:left="340" w:hanging="340"/>
      </w:pPr>
      <w:r>
        <w:rPr>
          <w:rFonts w:ascii="Meiryo" w:hAnsi="Meiryo" w:eastAsia="Meiryo" w:cs="Meiryo"/>
          <w:b/>
          <w:i w:val="0"/>
          <w:color w:val="16314F"/>
          <w:sz w:val="22"/>
        </w:rPr>
        <w:t xml:space="preserve">☐　</w:t>
      </w:r>
      <w:r>
        <w:rPr>
          <w:rFonts w:ascii="Meiryo" w:hAnsi="Meiryo" w:eastAsia="Meiryo" w:cs="Meiryo"/>
          <w:b w:val="0"/>
          <w:i w:val="0"/>
          <w:color w:val="263238"/>
          <w:sz w:val="21"/>
        </w:rPr>
        <w:t>情報セキュリティ研修（第10回）・生成AI研修（第11回）との役割分担を確認した</w:t>
      </w:r>
    </w:p>
    <w:p>
      <w:pPr>
        <w:spacing w:after="60" w:line="283" w:lineRule="auto"/>
        <w:ind w:left="340" w:hanging="340"/>
      </w:pPr>
      <w:r>
        <w:rPr>
          <w:rFonts w:ascii="Meiryo" w:hAnsi="Meiryo" w:eastAsia="Meiryo" w:cs="Meiryo"/>
          <w:b/>
          <w:i w:val="0"/>
          <w:color w:val="16314F"/>
          <w:sz w:val="22"/>
        </w:rPr>
        <w:t xml:space="preserve">☐　</w:t>
      </w:r>
      <w:r>
        <w:rPr>
          <w:rFonts w:ascii="Meiryo" w:hAnsi="Meiryo" w:eastAsia="Meiryo" w:cs="Meiryo"/>
          <w:b w:val="0"/>
          <w:i w:val="0"/>
          <w:color w:val="263238"/>
          <w:sz w:val="21"/>
        </w:rPr>
        <w:t>就業規則・誓約書・秘密保持に関する社内ルールと矛盾がないか確認した</w:t>
      </w:r>
    </w:p>
    <w:p>
      <w:pPr>
        <w:spacing w:after="60" w:line="283" w:lineRule="auto"/>
        <w:ind w:left="340" w:hanging="340"/>
      </w:pPr>
      <w:r>
        <w:rPr>
          <w:rFonts w:ascii="Meiryo" w:hAnsi="Meiryo" w:eastAsia="Meiryo" w:cs="Meiryo"/>
          <w:b/>
          <w:i w:val="0"/>
          <w:color w:val="16314F"/>
          <w:sz w:val="22"/>
        </w:rPr>
        <w:t xml:space="preserve">☐　</w:t>
      </w:r>
      <w:r>
        <w:rPr>
          <w:rFonts w:ascii="Meiryo" w:hAnsi="Meiryo" w:eastAsia="Meiryo" w:cs="Meiryo"/>
          <w:b w:val="0"/>
          <w:i w:val="0"/>
          <w:color w:val="263238"/>
          <w:sz w:val="21"/>
        </w:rPr>
        <w:t>個人情報保護に関する社内の相談窓口・通報窓口の案内と整合しているか確認した</w:t>
      </w:r>
    </w:p>
    <w:p>
      <w:r>
        <w:br w:type="page"/>
      </w:r>
    </w:p>
    <w:p>
      <w:pPr>
        <w:pStyle w:val="Heading1"/>
        <w:pBdr>
          <w:bottom w:val="single" w:sz="10" w:space="3" w:color="B58A3A"/>
        </w:pBdr>
      </w:pPr>
      <w:r>
        <w:rPr>
          <w:rFonts w:ascii="Meiryo" w:hAnsi="Meiryo" w:eastAsia="Meiryo" w:cs="Meiryo"/>
          <w:b/>
          <w:i w:val="0"/>
          <w:color w:val="16314F"/>
          <w:sz w:val="30"/>
        </w:rPr>
        <w:t>4　配布・受講管理</w:t>
      </w:r>
    </w:p>
    <w:p>
      <w:pPr>
        <w:pStyle w:val="ListBullet"/>
        <w:spacing w:after="40" w:line="283" w:lineRule="auto"/>
      </w:pPr>
      <w:r>
        <w:rPr>
          <w:rFonts w:ascii="Meiryo" w:hAnsi="Meiryo" w:eastAsia="Meiryo" w:cs="Meiryo"/>
          <w:b w:val="0"/>
          <w:i w:val="0"/>
          <w:color w:val="263238"/>
          <w:sz w:val="21"/>
        </w:rPr>
        <w:t>受講対象者リストを作成し、受講予定・実績を記録する。</w:t>
      </w:r>
    </w:p>
    <w:p>
      <w:pPr>
        <w:pStyle w:val="ListBullet"/>
        <w:spacing w:after="40" w:line="283" w:lineRule="auto"/>
      </w:pPr>
      <w:r>
        <w:rPr>
          <w:rFonts w:ascii="Meiryo" w:hAnsi="Meiryo" w:eastAsia="Meiryo" w:cs="Meiryo"/>
          <w:b w:val="0"/>
          <w:i w:val="0"/>
          <w:color w:val="263238"/>
          <w:sz w:val="21"/>
        </w:rPr>
        <w:t>確認テストを回収し、採点結果と受講記録を社内ルールに従って保管する。</w:t>
      </w:r>
    </w:p>
    <w:p>
      <w:pPr>
        <w:pStyle w:val="ListBullet"/>
        <w:spacing w:after="40" w:line="283" w:lineRule="auto"/>
      </w:pPr>
      <w:r>
        <w:rPr>
          <w:rFonts w:ascii="Meiryo" w:hAnsi="Meiryo" w:eastAsia="Meiryo" w:cs="Meiryo"/>
          <w:b w:val="0"/>
          <w:i w:val="0"/>
          <w:color w:val="263238"/>
          <w:sz w:val="21"/>
        </w:rPr>
        <w:t>未受講者・再受講者のフォロー方法（締切・リマインド）を決めておく。</w:t>
      </w:r>
    </w:p>
    <w:p>
      <w:pPr>
        <w:pStyle w:val="ListBullet"/>
        <w:spacing w:after="40" w:line="283" w:lineRule="auto"/>
      </w:pPr>
      <w:r>
        <w:rPr>
          <w:rFonts w:ascii="Meiryo" w:hAnsi="Meiryo" w:eastAsia="Meiryo" w:cs="Meiryo"/>
          <w:b w:val="0"/>
          <w:i w:val="0"/>
          <w:color w:val="263238"/>
          <w:sz w:val="21"/>
        </w:rPr>
        <w:t>資料の版（作成・改訂日）を管理し、古い版が出回らないようにする。</w:t>
      </w:r>
    </w:p>
    <w:p>
      <w:pPr>
        <w:pStyle w:val="Heading1"/>
        <w:pBdr>
          <w:bottom w:val="single" w:sz="10" w:space="3" w:color="B58A3A"/>
        </w:pBdr>
      </w:pPr>
      <w:r>
        <w:rPr>
          <w:rFonts w:ascii="Meiryo" w:hAnsi="Meiryo" w:eastAsia="Meiryo" w:cs="Meiryo"/>
          <w:b/>
          <w:i w:val="0"/>
          <w:color w:val="16314F"/>
          <w:sz w:val="30"/>
        </w:rPr>
        <w:t>5　効果測定とフォローアップ</w:t>
      </w:r>
    </w:p>
    <w:p>
      <w:pPr>
        <w:pStyle w:val="ListBullet"/>
        <w:spacing w:after="40" w:line="283" w:lineRule="auto"/>
      </w:pPr>
      <w:r>
        <w:rPr>
          <w:rFonts w:ascii="Meiryo" w:hAnsi="Meiryo" w:eastAsia="Meiryo" w:cs="Meiryo"/>
          <w:b w:val="0"/>
          <w:i w:val="0"/>
          <w:color w:val="263238"/>
          <w:sz w:val="21"/>
        </w:rPr>
        <w:t>確認テストの正答状況から、理解が弱い論点（例：報告要否の判断、要配慮の範囲）を把握する。</w:t>
      </w:r>
    </w:p>
    <w:p>
      <w:pPr>
        <w:pStyle w:val="ListBullet"/>
        <w:spacing w:after="40" w:line="283" w:lineRule="auto"/>
      </w:pPr>
      <w:r>
        <w:rPr>
          <w:rFonts w:ascii="Meiryo" w:hAnsi="Meiryo" w:eastAsia="Meiryo" w:cs="Meiryo"/>
          <w:b w:val="0"/>
          <w:i w:val="0"/>
          <w:color w:val="263238"/>
          <w:sz w:val="21"/>
        </w:rPr>
        <w:t>研修後しばらくして、チェックリストが実際に使われているかを確認する。</w:t>
      </w:r>
    </w:p>
    <w:p>
      <w:pPr>
        <w:pStyle w:val="ListBullet"/>
        <w:spacing w:after="40" w:line="283" w:lineRule="auto"/>
      </w:pPr>
      <w:r>
        <w:rPr>
          <w:rFonts w:ascii="Meiryo" w:hAnsi="Meiryo" w:eastAsia="Meiryo" w:cs="Meiryo"/>
          <w:b w:val="0"/>
          <w:i w:val="0"/>
          <w:color w:val="263238"/>
          <w:sz w:val="21"/>
        </w:rPr>
        <w:t>ヒヤリ・誤送信未遂などを気軽に共有できる仕組みを用意し、責めずに収集する。</w:t>
      </w:r>
    </w:p>
    <w:p>
      <w:pPr>
        <w:pStyle w:val="ListBullet"/>
        <w:spacing w:after="40" w:line="283" w:lineRule="auto"/>
      </w:pPr>
      <w:r>
        <w:rPr>
          <w:rFonts w:ascii="Meiryo" w:hAnsi="Meiryo" w:eastAsia="Meiryo" w:cs="Meiryo"/>
          <w:b w:val="0"/>
          <w:i w:val="0"/>
          <w:color w:val="263238"/>
          <w:sz w:val="21"/>
        </w:rPr>
        <w:t>把握した弱点や新たな事例を、次回の研修・資料更新に反映する。</w:t>
      </w:r>
    </w:p>
    <w:tbl>
      <w:tblPr>
        <w:tblW w:w="9600" w:type="dxa"/>
        <w:jc w:val="left"/>
        <w:tblLayout w:type="fixed"/>
        <w:tblLook w:firstColumn="1" w:firstRow="1" w:lastColumn="0" w:lastRow="0" w:noHBand="0" w:noVBand="1" w:val="04A0"/>
      </w:tblPr>
      <w:tblGrid>
        <w:gridCol w:w="9600"/>
      </w:tblGrid>
      <w:tr>
        <w:tc>
          <w:tcPr>
            <w:tcW w:type="dxa" w:w="9600"/>
            <w:tcBorders>
              <w:top w:val="single" w:sz="4" w:space="0" w:color="237A75"/>
              <w:start w:val="single" w:sz="4" w:space="0" w:color="237A75"/>
              <w:bottom w:val="single" w:sz="4" w:space="0" w:color="237A75"/>
              <w:end w:val="single" w:sz="4" w:space="0" w:color="237A75"/>
            </w:tcBorders>
            <w:shd w:val="clear" w:color="auto" w:fill="E3F1F0"/>
            <w:tcMar>
              <w:top w:w="90" w:type="dxa"/>
              <w:start w:w="150" w:type="dxa"/>
              <w:bottom w:w="90" w:type="dxa"/>
              <w:end w:w="150" w:type="dxa"/>
            </w:tcMar>
          </w:tcPr>
          <w:p>
            <w:pPr>
              <w:spacing w:after="40" w:line="278" w:lineRule="auto"/>
            </w:pPr>
            <w:r/>
            <w:r>
              <w:rPr>
                <w:rFonts w:ascii="Meiryo" w:hAnsi="Meiryo" w:eastAsia="Meiryo" w:cs="Meiryo"/>
                <w:b/>
                <w:i w:val="0"/>
                <w:color w:val="237A75"/>
                <w:sz w:val="22"/>
              </w:rPr>
              <w:t>運営の基本姿勢</w:t>
            </w:r>
          </w:p>
          <w:p>
            <w:pPr>
              <w:spacing w:after="40" w:line="283" w:lineRule="auto"/>
            </w:pPr>
            <w:r>
              <w:rPr>
                <w:rFonts w:ascii="Meiryo" w:hAnsi="Meiryo" w:eastAsia="Meiryo" w:cs="Meiryo"/>
                <w:b w:val="0"/>
                <w:i w:val="0"/>
                <w:color w:val="263238"/>
                <w:sz w:val="20"/>
              </w:rPr>
              <w:t>研修は一度きりのイベントではなく、報告しやすい文化づくりの一部です。「正しく早く報告した人を評価する」運用を、研修と合わせて整えてください。</w:t>
            </w:r>
          </w:p>
        </w:tc>
      </w:tr>
    </w:tbl>
    <w:p>
      <w:pPr>
        <w:spacing w:after="0" w:before="0"/>
      </w:pPr>
      <w:r>
        <w:rPr>
          <w:sz w:val="8"/>
        </w:rPr>
      </w:r>
    </w:p>
    <w:p>
      <w:pPr>
        <w:pStyle w:val="Heading1"/>
        <w:pBdr>
          <w:bottom w:val="single" w:sz="10" w:space="3" w:color="B58A3A"/>
        </w:pBdr>
      </w:pPr>
      <w:r>
        <w:rPr>
          <w:rFonts w:ascii="Meiryo" w:hAnsi="Meiryo" w:eastAsia="Meiryo" w:cs="Meiryo"/>
          <w:b/>
          <w:i w:val="0"/>
          <w:color w:val="16314F"/>
          <w:sz w:val="30"/>
        </w:rPr>
        <w:t>6　年次更新・制度改正への対応</w:t>
      </w:r>
    </w:p>
    <w:p>
      <w:pPr>
        <w:spacing w:after="80" w:before="0" w:line="293" w:lineRule="auto"/>
      </w:pPr>
      <w:r>
        <w:rPr>
          <w:rFonts w:ascii="Meiryo" w:hAnsi="Meiryo" w:eastAsia="Meiryo" w:cs="Meiryo"/>
          <w:b w:val="0"/>
          <w:i w:val="0"/>
          <w:color w:val="263238"/>
          <w:sz w:val="21"/>
        </w:rPr>
        <w:t>本資料は作成時点（2026年6月）の現行法（令和2年改正・施行済み）に基づきます。次の場合は内容を見直してください。</w:t>
      </w:r>
    </w:p>
    <w:p>
      <w:pPr>
        <w:pStyle w:val="ListBullet"/>
        <w:spacing w:after="40" w:line="283" w:lineRule="auto"/>
      </w:pPr>
      <w:r>
        <w:rPr>
          <w:rFonts w:ascii="Meiryo" w:hAnsi="Meiryo" w:eastAsia="Meiryo" w:cs="Meiryo"/>
          <w:b w:val="0"/>
          <w:i w:val="0"/>
          <w:color w:val="263238"/>
          <w:sz w:val="21"/>
        </w:rPr>
        <w:t>個人情報保護法・関連ガイドラインが改正・施行されたとき。</w:t>
      </w:r>
    </w:p>
    <w:p>
      <w:pPr>
        <w:pStyle w:val="ListBullet"/>
        <w:spacing w:after="40" w:line="283" w:lineRule="auto"/>
      </w:pPr>
      <w:r>
        <w:rPr>
          <w:rFonts w:ascii="Meiryo" w:hAnsi="Meiryo" w:eastAsia="Meiryo" w:cs="Meiryo"/>
          <w:b w:val="0"/>
          <w:i w:val="0"/>
          <w:color w:val="263238"/>
          <w:sz w:val="21"/>
        </w:rPr>
        <w:t>自社の報告ルート・主管部署・利用ツールが変わったとき。</w:t>
      </w:r>
    </w:p>
    <w:p>
      <w:pPr>
        <w:pStyle w:val="ListBullet"/>
        <w:spacing w:after="40" w:line="283" w:lineRule="auto"/>
      </w:pPr>
      <w:r>
        <w:rPr>
          <w:rFonts w:ascii="Meiryo" w:hAnsi="Meiryo" w:eastAsia="Meiryo" w:cs="Meiryo"/>
          <w:b w:val="0"/>
          <w:i w:val="0"/>
          <w:color w:val="263238"/>
          <w:sz w:val="21"/>
        </w:rPr>
        <w:t>新しい類型の事故（新しいツール起因など）が社内外で確認されたとき。</w:t>
      </w:r>
    </w:p>
    <w:p>
      <w:pPr>
        <w:spacing w:after="80" w:before="0" w:line="288" w:lineRule="auto"/>
      </w:pPr>
      <w:r>
        <w:rPr>
          <w:rFonts w:ascii="Meiryo" w:hAnsi="Meiryo" w:eastAsia="Meiryo" w:cs="Meiryo"/>
          <w:b w:val="0"/>
          <w:i w:val="0"/>
          <w:color w:val="64748B"/>
          <w:sz w:val="19"/>
        </w:rPr>
        <w:t>個人情報保護法は本人通知のあり方等について改正の議論が進められていますが、作成時点では成立・施行されていません。動向を注視し、施行された場合は本研修一式を更新してください。</w:t>
      </w:r>
    </w:p>
    <w:p>
      <w:pPr>
        <w:pStyle w:val="Heading2"/>
        <w:pBdr>
          <w:bottom w:val="single" w:sz="6" w:space="3" w:color="D7DEE6"/>
        </w:pBdr>
      </w:pPr>
      <w:r>
        <w:rPr>
          <w:rFonts w:ascii="Meiryo" w:hAnsi="Meiryo" w:eastAsia="Meiryo" w:cs="Meiryo"/>
          <w:b/>
          <w:i w:val="0"/>
          <w:color w:val="16314F"/>
          <w:sz w:val="25"/>
        </w:rPr>
        <w:t>参考（公式の一次情報）</w:t>
      </w:r>
    </w:p>
    <w:p>
      <w:pPr>
        <w:spacing w:after="40" w:before="0" w:line="293" w:lineRule="auto"/>
      </w:pPr>
      <w:r>
        <w:rPr>
          <w:rFonts w:ascii="Meiryo" w:hAnsi="Meiryo" w:eastAsia="Meiryo" w:cs="Meiryo"/>
          <w:b w:val="0"/>
          <w:i w:val="0"/>
          <w:color w:val="243B53"/>
          <w:sz w:val="19"/>
        </w:rPr>
        <w:t>個人情報保護委員会（制度全般）：https://www.ppc.go.jp/personalinfo/</w:t>
      </w:r>
    </w:p>
    <w:p>
      <w:pPr>
        <w:spacing w:after="40" w:before="0" w:line="293" w:lineRule="auto"/>
      </w:pPr>
      <w:r>
        <w:rPr>
          <w:rFonts w:ascii="Meiryo" w:hAnsi="Meiryo" w:eastAsia="Meiryo" w:cs="Meiryo"/>
          <w:b w:val="0"/>
          <w:i w:val="0"/>
          <w:color w:val="243B53"/>
          <w:sz w:val="19"/>
        </w:rPr>
        <w:t>ガイドライン（通則編）：https://www.ppc.go.jp/personalinfo/legal/guidelines_tsusoku/</w:t>
      </w:r>
    </w:p>
    <w:p>
      <w:pPr>
        <w:spacing w:after="40" w:before="0" w:line="293" w:lineRule="auto"/>
      </w:pPr>
      <w:r>
        <w:rPr>
          <w:rFonts w:ascii="Meiryo" w:hAnsi="Meiryo" w:eastAsia="Meiryo" w:cs="Meiryo"/>
          <w:b w:val="0"/>
          <w:i w:val="0"/>
          <w:color w:val="243B53"/>
          <w:sz w:val="19"/>
        </w:rPr>
        <w:t>漏えい等報告の義務化（特集）：https://www.ppc.go.jp/news/kaiseihou_feature/roueitouhoukoku_gimuka</w:t>
      </w:r>
    </w:p>
    <w:p>
      <w:pPr>
        <w:spacing w:after="40" w:before="0" w:line="293" w:lineRule="auto"/>
      </w:pPr>
      <w:r>
        <w:rPr>
          <w:rFonts w:ascii="Meiryo" w:hAnsi="Meiryo" w:eastAsia="Meiryo" w:cs="Meiryo"/>
          <w:b w:val="0"/>
          <w:i w:val="0"/>
          <w:color w:val="243B53"/>
          <w:sz w:val="19"/>
        </w:rPr>
        <w:t>漏えい等の対応・報告：https://www.ppc.go.jp/personalinfo/legal/leakAction/</w:t>
      </w:r>
    </w:p>
    <w:p>
      <w:pPr>
        <w:spacing w:after="40" w:before="0" w:line="293" w:lineRule="auto"/>
      </w:pPr>
      <w:r>
        <w:rPr>
          <w:rFonts w:ascii="Meiryo" w:hAnsi="Meiryo" w:eastAsia="Meiryo" w:cs="Meiryo"/>
          <w:b w:val="0"/>
          <w:i w:val="0"/>
          <w:color w:val="243B53"/>
          <w:sz w:val="19"/>
        </w:rPr>
        <w:t>研修用資料（委員会）：https://www.ppc.go.jp/kensyu_material/</w:t>
      </w:r>
    </w:p>
    <w:sectPr w:rsidR="00FC693F" w:rsidRPr="0006063C" w:rsidSect="00034616">
      <w:footerReference w:type="default" r:id="rId9"/>
      <w:pgSz w:w="11906" w:h="16838"/>
      <w:pgMar w:top="1247" w:right="1134" w:bottom="1020" w:left="1134" w:header="680"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800" w:val="center"/>
        <w:tab w:pos="9600" w:val="right"/>
      </w:tabs>
    </w:pPr>
    <w:r/>
    <w:r>
      <w:rPr>
        <w:rFonts w:ascii="Meiryo" w:hAnsi="Meiryo" w:eastAsia="Meiryo" w:cs="Meiryo"/>
        <w:color w:val="64748B"/>
        <w:sz w:val="16"/>
      </w:rPr>
      <w:tab/>
      <w:t>Legal GPT  ｜  第9回 個人情報保護研修</w:t>
      <w:tab/>
    </w:r>
    <w:r>
      <w:rPr>
        <w:sz w:val="16"/>
        <w:color w:val="64748B"/>
      </w:rPr>
      <w:fldChar w:fldCharType="begin"/>
    </w:r>
    <w:r>
      <w:rPr>
        <w:sz w:val="16"/>
      </w:rPr>
      <w:instrText xml:space="preserve"> PAGE </w:instrText>
    </w:r>
    <w:r>
      <w:rPr>
        <w:sz w:val="16"/>
        <w:color w:val="64748B"/>
      </w:rPr>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0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ascii="Meiryo" w:hAnsi="Meiryo" w:eastAsia="Meiryo" w:cs="Meiryo"/>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lineRule="auto" w:line="293" w:after="80"/>
    </w:pPr>
    <w:rPr>
      <w:rFonts w:ascii="Meiryo" w:hAnsi="Meiryo" w:eastAsia="Meiryo" w:cs="Meiryo"/>
      <w:color w:val="263238"/>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20"/>
      <w:outlineLvl w:val="0"/>
    </w:pPr>
    <w:rPr>
      <w:rFonts w:asciiTheme="majorHAnsi" w:eastAsiaTheme="majorEastAsia" w:hAnsiTheme="majorHAnsi" w:cstheme="majorBidi" w:ascii="Meiryo" w:hAnsi="Meiryo" w:eastAsia="Meiryo" w:cs="Meiryo"/>
      <w:b/>
      <w:bCs/>
      <w:color w:val="16314F"/>
      <w:sz w:val="30"/>
      <w:szCs w:val="28"/>
    </w:rPr>
  </w:style>
  <w:style w:type="paragraph" w:styleId="Heading2">
    <w:name w:val="heading 2"/>
    <w:basedOn w:val="Normal"/>
    <w:next w:val="Normal"/>
    <w:link w:val="Heading2Char"/>
    <w:uiPriority w:val="9"/>
    <w:unhideWhenUsed/>
    <w:qFormat/>
    <w:rsid w:val="00FC693F"/>
    <w:pPr>
      <w:keepNext/>
      <w:keepLines/>
      <w:spacing w:before="220" w:after="60"/>
      <w:outlineLvl w:val="1"/>
    </w:pPr>
    <w:rPr>
      <w:rFonts w:asciiTheme="majorHAnsi" w:eastAsiaTheme="majorEastAsia" w:hAnsiTheme="majorHAnsi" w:cstheme="majorBidi" w:ascii="Meiryo" w:hAnsi="Meiryo" w:eastAsia="Meiryo" w:cs="Meiryo"/>
      <w:b/>
      <w:bCs/>
      <w:color w:val="16314F"/>
      <w:sz w:val="25"/>
      <w:szCs w:val="26"/>
    </w:rPr>
  </w:style>
  <w:style w:type="paragraph" w:styleId="Heading3">
    <w:name w:val="heading 3"/>
    <w:basedOn w:val="Normal"/>
    <w:next w:val="Normal"/>
    <w:link w:val="Heading3Char"/>
    <w:uiPriority w:val="9"/>
    <w:unhideWhenUsed/>
    <w:qFormat/>
    <w:rsid w:val="00FC693F"/>
    <w:pPr>
      <w:keepNext/>
      <w:keepLines/>
      <w:spacing w:before="160" w:after="40"/>
      <w:outlineLvl w:val="2"/>
    </w:pPr>
    <w:rPr>
      <w:rFonts w:asciiTheme="majorHAnsi" w:eastAsiaTheme="majorEastAsia" w:hAnsiTheme="majorHAnsi" w:cstheme="majorBidi" w:ascii="Meiryo" w:hAnsi="Meiryo" w:eastAsia="Meiryo" w:cs="Meiryo"/>
      <w:b/>
      <w:bCs/>
      <w:color w:val="243B53"/>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Meiryo" w:hAnsi="Meiryo" w:eastAsia="Meiryo" w:cs="Meiryo"/>
      <w:color w:val="263238"/>
      <w:sz w:val="21"/>
    </w:rPr>
  </w:style>
  <w:style w:type="paragraph" w:styleId="ListBullet2">
    <w:name w:val="List Bullet 2"/>
    <w:basedOn w:val="Normal"/>
    <w:uiPriority w:val="99"/>
    <w:unhideWhenUsed/>
    <w:rsid w:val="00326F90"/>
    <w:pPr>
      <w:numPr>
        <w:numId w:val="2"/>
      </w:numPr>
      <w:contextualSpacing/>
    </w:pPr>
    <w:rPr>
      <w:rFonts w:ascii="Meiryo" w:hAnsi="Meiryo" w:eastAsia="Meiryo" w:cs="Meiryo"/>
      <w:color w:val="263238"/>
      <w:sz w:val="21"/>
    </w:r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rFonts w:ascii="Meiryo" w:hAnsi="Meiryo" w:eastAsia="Meiryo" w:cs="Meiryo"/>
      <w:color w:val="263238"/>
      <w:sz w:val="21"/>
    </w:rPr>
  </w:style>
  <w:style w:type="paragraph" w:styleId="ListNumber2">
    <w:name w:val="List Number 2"/>
    <w:basedOn w:val="Normal"/>
    <w:uiPriority w:val="99"/>
    <w:unhideWhenUsed/>
    <w:rsid w:val="0029639D"/>
    <w:pPr>
      <w:numPr>
        <w:numId w:val="6"/>
      </w:numPr>
      <w:contextualSpacing/>
    </w:pPr>
    <w:rPr>
      <w:rFonts w:ascii="Meiryo" w:hAnsi="Meiryo" w:eastAsia="Meiryo" w:cs="Meiryo"/>
      <w:color w:val="263238"/>
      <w:sz w:val="21"/>
    </w:r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