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40"/>
      </w:pPr>
      <w:r>
        <w:rPr>
          <w:rFonts w:ascii="Meiryo" w:cs="Meiryo" w:eastAsia="Meiryo" w:hAnsi="Meiryo"/>
          <w:color w:val="5B6B7B"/>
          <w:sz w:val="19"/>
          <w:szCs w:val="19"/>
        </w:rPr>
        <w:t xml:space="preserve">法務・総務のための社内研修資料20選｜スライド・問題・解答・講師台本</w:t>
      </w:r>
    </w:p>
    <w:p>
      <w:pPr>
        <w:pBdr>
          <w:bottom w:val="single" w:color="B58A3A" w:sz="18" w:space="8"/>
        </w:pBdr>
        <w:spacing w:after="12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第10回</w:t>
      </w:r>
      <w:r>
        <w:rPr>
          <w:rFonts w:ascii="Meiryo" w:cs="Meiryo" w:eastAsia="Meiryo" w:hAnsi="Meiryo"/>
          <w:b/>
          <w:bCs/>
          <w:color w:val="16314F"/>
          <w:sz w:val="36"/>
          <w:szCs w:val="36"/>
        </w:rPr>
        <w:t xml:space="preserve">　情報セキュリティ ハンドブック</w:t>
      </w:r>
    </w:p>
    <w:p>
      <w:pPr>
        <w:spacing w:after="160"/>
      </w:pPr>
      <w:r>
        <w:rPr>
          <w:rFonts w:ascii="Meiryo" w:cs="Meiryo" w:eastAsia="Meiryo" w:hAnsi="Meiryo"/>
          <w:color w:val="243B53"/>
          <w:sz w:val="22"/>
          <w:szCs w:val="22"/>
        </w:rPr>
        <w:t xml:space="preserve">標的型メール・パスワード・端末紛失から会社と自分を守るための行動ガイド（全社員向け）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対象：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メール・スマートフォン・PC・クラウドを業務で使うすべての役員・従業員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使い方：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手元に置き、迷ったときに該当ページを確認。研修スライド・確認テストと併せて使用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本資料の位置づけ：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全社員の基本行動をまとめたもの。技術的な詳細設定は情報システム部門の指示に従う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法令・制度基準日：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2026年6月18日</w:t>
      </w:r>
    </w:p>
    <w:p>
      <w:pPr>
        <w:spacing w:after="12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16314F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EAF0F6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この冊子でいちばん覚えてほしい2つのこと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① 開く前に止まる。 メール・リンク・添付・QR・ログイン画面・送金依頼は、反射的に操作せず一呼吸おいて確認する。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② 隠さず・消さず・すぐ報告する。 おかしいと気づいたら（やってしまった後でも）、隠さず・証拠を消さず、上長と情報システムへすぐ伝える。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94" w:lineRule="auto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20"/>
                <w:szCs w:val="20"/>
              </w:rPr>
              <w:t xml:space="preserve">事故は特別な人ではなく、日常のメール操作・クリック・紛失から始まります。一人ひとりの行動が会社の防御です。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1. 情報セキュリティは全社員の仕事</w:t>
      </w:r>
    </w:p>
    <w:p>
      <w:pPr>
        <w:spacing w:after="8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「セキュリティは情報システム部門だけの問題」というのは誤解です。攻撃の多くは、特別な天才ハッカーの仕業ではなく、私たちが普段やっているメールの開封・リンクのクリック・端末の持ち歩きから始まります。つまり、全員が入口になり得ます。だからこそ、一人ひとりの基本行動が会社全体の防御線になります。</w:t>
      </w:r>
    </w:p>
    <w:p>
      <w:pPr>
        <w:spacing w:after="12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この冊子は、難しい技術の話を覚えるためのものではありません。「どう行動すれば事故を防げるか」「気づいたら誰に・どう伝えるか」を身につけるための実用ガイドです。</w:t>
      </w:r>
    </w:p>
    <w:p>
      <w:pPr>
        <w:pStyle w:val="Heading2"/>
      </w:pPr>
      <w:r>
        <w:rPr>
          <w:rFonts w:ascii="Meiryo" w:cs="Meiryo" w:eastAsia="Meiryo" w:hAnsi="Meiryo"/>
        </w:rPr>
        <w:t xml:space="preserve">守る対象＝情報資産とは</w:t>
      </w:r>
    </w:p>
    <w:p>
      <w:pPr>
        <w:spacing w:after="8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「情報資産」は個人情報だけではありません。漏れたり・止まったり・乗っ取られたりすると困るものすべてが対象です。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00"/>
        <w:gridCol w:w="6538"/>
      </w:tblGrid>
      <w:tr>
        <w:trPr>
          <w:tblHeader/>
        </w:trPr>
        <w:tc>
          <w:tcPr>
            <w:tcW w:type="dxa" w:w="3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分類</w:t>
            </w:r>
          </w:p>
        </w:tc>
        <w:tc>
          <w:tcPr>
            <w:tcW w:type="dxa" w:w="6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具体例</w:t>
            </w:r>
          </w:p>
        </w:tc>
      </w:tr>
      <w:tr>
        <w:tc>
          <w:tcPr>
            <w:tcW w:type="dxa" w:w="3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顧客・取引先の情報</w:t>
            </w:r>
          </w:p>
        </w:tc>
        <w:tc>
          <w:tcPr>
            <w:tcW w:type="dxa" w:w="6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顧客名簿、取引条件、連絡先、商談・契約の内容</w:t>
            </w:r>
          </w:p>
        </w:tc>
      </w:tr>
      <w:tr>
        <w:tc>
          <w:tcPr>
            <w:tcW w:type="dxa" w:w="3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社内の重要情報</w:t>
            </w:r>
          </w:p>
        </w:tc>
        <w:tc>
          <w:tcPr>
            <w:tcW w:type="dxa" w:w="6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未公表の経営・財務情報、技術資料、企画書、人事情報</w:t>
            </w:r>
          </w:p>
        </w:tc>
      </w:tr>
      <w:tr>
        <w:tc>
          <w:tcPr>
            <w:tcW w:type="dxa" w:w="3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アカウント・認証情報</w:t>
            </w:r>
          </w:p>
        </w:tc>
        <w:tc>
          <w:tcPr>
            <w:tcW w:type="dxa" w:w="6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ID・パスワード、認証コード、各種サービスのログイン</w:t>
            </w:r>
          </w:p>
        </w:tc>
      </w:tr>
      <w:tr>
        <w:tc>
          <w:tcPr>
            <w:tcW w:type="dxa" w:w="3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端末・媒体</w:t>
            </w:r>
          </w:p>
        </w:tc>
        <w:tc>
          <w:tcPr>
            <w:tcW w:type="dxa" w:w="6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PC、スマートフォン、タブレット、USBメモリ、紙の資料</w:t>
            </w:r>
          </w:p>
        </w:tc>
      </w:tr>
      <w:tr>
        <w:tc>
          <w:tcPr>
            <w:tcW w:type="dxa" w:w="3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システム・データ</w:t>
            </w:r>
          </w:p>
        </w:tc>
        <w:tc>
          <w:tcPr>
            <w:tcW w:type="dxa" w:w="6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社内システム、クラウド上のファイル、メール、チャット</w:t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5B6B7B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1F5F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5B6B7B"/>
                <w:sz w:val="21"/>
                <w:szCs w:val="21"/>
              </w:rPr>
              <w:t xml:space="preserve">他の研修との関係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個人情報そのものの取扱いや漏えい時の通知・報告は第9回（個人情報保護）が主担当です。営業秘密の管理・退職時の持出しは第13回、生成AIの利用ルールは第11回、SNSの私的利用は第12回で扱います。本冊子は、それらに共通する「日々のセキュリティ行動」をまとめています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2. 標的型メール・フィッシング・ビジネスメール詐欺</w:t>
      </w:r>
    </w:p>
    <w:p>
      <w:pPr>
        <w:spacing w:after="12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メールは最も身近な攻撃の入口です。代表的な手口は3つあります。標的型メールは業務に紛れた件名で添付やリンクを開かせます。フィッシングは本物そっくりのログイン画面でID・パスワードを盗みます。ビジネスメール詐欺（BEC）は、なりすましで送金や振込先変更をさせます。共通点は「急がせる・不安にさせる・正規に見せかける」こと。冷静に立ち止まれば多くは防げます。</w:t>
      </w:r>
    </w:p>
    <w:p>
      <w:pPr>
        <w:pStyle w:val="Heading2"/>
      </w:pPr>
      <w:r>
        <w:rPr>
          <w:rFonts w:ascii="Meiryo" w:cs="Meiryo" w:eastAsia="Meiryo" w:hAnsi="Meiryo"/>
        </w:rPr>
        <w:t xml:space="preserve">不審メールを見分ける6つのポイント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00"/>
        <w:gridCol w:w="6538"/>
      </w:tblGrid>
      <w:tr>
        <w:trPr>
          <w:tblHeader/>
        </w:trPr>
        <w:tc>
          <w:tcPr>
            <w:tcW w:type="dxa" w:w="3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見るところ</w:t>
            </w:r>
          </w:p>
        </w:tc>
        <w:tc>
          <w:tcPr>
            <w:tcW w:type="dxa" w:w="6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16314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確認すること</w:t>
            </w:r>
          </w:p>
        </w:tc>
      </w:tr>
      <w:tr>
        <w:tc>
          <w:tcPr>
            <w:tcW w:type="dxa" w:w="3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① 差出人アドレス</w:t>
            </w:r>
          </w:p>
        </w:tc>
        <w:tc>
          <w:tcPr>
            <w:tcW w:type="dxa" w:w="6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表示名ではなく実際のアドレス・ドメインを見る（1文字違いに注意）</w:t>
            </w:r>
          </w:p>
        </w:tc>
      </w:tr>
      <w:tr>
        <w:tc>
          <w:tcPr>
            <w:tcW w:type="dxa" w:w="3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② リンク先URL</w:t>
            </w:r>
          </w:p>
        </w:tc>
        <w:tc>
          <w:tcPr>
            <w:tcW w:type="dxa" w:w="6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クリック前にカーソルを当て、表示先ドメインが正規か確認</w:t>
            </w:r>
          </w:p>
        </w:tc>
      </w:tr>
      <w:tr>
        <w:tc>
          <w:tcPr>
            <w:tcW w:type="dxa" w:w="3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③ 急かす表現</w:t>
            </w:r>
          </w:p>
        </w:tc>
        <w:tc>
          <w:tcPr>
            <w:tcW w:type="dxa" w:w="6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「本日中」「至急」「今すぐ」など、焦らせる文面ほど慎重に</w:t>
            </w:r>
          </w:p>
        </w:tc>
      </w:tr>
      <w:tr>
        <w:tc>
          <w:tcPr>
            <w:tcW w:type="dxa" w:w="3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④ 添付ファイル</w:t>
            </w:r>
          </w:p>
        </w:tc>
        <w:tc>
          <w:tcPr>
            <w:tcW w:type="dxa" w:w="6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心当たりのないZIP・文書・実行ファイルは開かない</w:t>
            </w:r>
          </w:p>
        </w:tc>
      </w:tr>
      <w:tr>
        <w:tc>
          <w:tcPr>
            <w:tcW w:type="dxa" w:w="3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⑤ QRコード</w:t>
            </w:r>
          </w:p>
        </w:tc>
        <w:tc>
          <w:tcPr>
            <w:tcW w:type="dxa" w:w="6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メール内のQRも安易に読み取らない</w:t>
            </w:r>
          </w:p>
        </w:tc>
      </w:tr>
      <w:tr>
        <w:tc>
          <w:tcPr>
            <w:tcW w:type="dxa" w:w="3100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⑥ 依頼の内容</w:t>
            </w:r>
          </w:p>
        </w:tc>
        <w:tc>
          <w:tcPr>
            <w:tcW w:type="dxa" w:w="6538"/>
            <w:tcBorders>
              <w:top w:val="single" w:color="D7DEE6" w:sz="4"/>
              <w:left w:val="single" w:color="D7DEE6" w:sz="4"/>
              <w:bottom w:val="single" w:color="D7DEE6" w:sz="4"/>
              <w:right w:val="single" w:color="D7DEE6" w:sz="4"/>
            </w:tcBorders>
            <w:shd w:fill="F1F5F8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line="280" w:lineRule="auto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送金・振込先変更・ID/パスワード/認証コードの要求は要警戒</w:t>
            </w:r>
          </w:p>
        </w:tc>
      </w:tr>
    </w:tbl>
    <w:p>
      <w:pPr>
        <w:spacing w:after="7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B42318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BEAE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見た目だけで判断しない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0"/>
                <w:szCs w:val="20"/>
              </w:rPr>
              <w:t xml:space="preserve">「不審メールは見た目で必ず見分けられる」「差出人名が取引先なら安全」は誤りです。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差出人名は簡単に偽装できます。巧妙なメールは見抜けないこともあります。一つでも違和感があれば、メールで返信せず、別経路（既知の電話番号など）で確認してください。</w:t>
            </w:r>
          </w:p>
        </w:tc>
      </w:tr>
    </w:tbl>
    <w:p>
      <w:pPr>
        <w:spacing w:after="8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リンク・添付・QRを開く前に</w:t>
      </w:r>
    </w:p>
    <w:tbl>
      <w:tblPr>
        <w:tblW w:type="dxa" w:w="963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09"/>
        <w:gridCol w:w="220"/>
        <w:gridCol w:w="4709"/>
      </w:tblGrid>
      <w:tr>
        <w:tc>
          <w:tcPr>
            <w:tcW w:type="dxa" w:w="4709"/>
            <w:tcBorders>
              <w:top w:val="single" w:color="B42318" w:sz="6"/>
              <w:left w:val="single" w:color="B42318" w:sz="24"/>
              <w:bottom w:val="single" w:color="B42318" w:sz="6"/>
              <w:right w:val="single" w:color="B42318" w:sz="6"/>
            </w:tcBorders>
            <w:shd w:fill="FBEAE8" w:val="clear"/>
            <w:tcMar>
              <w:top w:type="dxa" w:w="110"/>
              <w:left w:type="dxa" w:w="150"/>
              <w:bottom w:type="dxa" w:w="110"/>
              <w:right w:type="dxa" w:w="13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やってはいけない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メール内のリンクをすぐクリックする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ZIPや文書をそのまま開く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QRコードを反射的に読み取る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「コンテンツの有効化（マクロ）」を押す</w:t>
            </w:r>
          </w:p>
        </w:tc>
        <w:tc>
          <w:tcPr>
            <w:tcW w:type="dxa" w:w="2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4709"/>
            <w:tcBorders>
              <w:top w:val="single" w:color="2F6B4F" w:sz="6"/>
              <w:left w:val="single" w:color="2F6B4F" w:sz="24"/>
              <w:bottom w:val="single" w:color="2F6B4F" w:sz="6"/>
              <w:right w:val="single" w:color="2F6B4F" w:sz="6"/>
            </w:tcBorders>
            <w:shd w:fill="E7F1EB" w:val="clear"/>
            <w:tcMar>
              <w:top w:type="dxa" w:w="110"/>
              <w:left w:type="dxa" w:w="150"/>
              <w:bottom w:type="dxa" w:w="110"/>
              <w:right w:type="dxa" w:w="13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こうする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URL・ドメインを目視で確認する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心当たりのない添付は開かない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迷ったら開かず上長・情シスに相談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別経路で送信元の事実を確認する</w:t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B58A3A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7EFDD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もう開いてしまったら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「開いてもすぐ閉じれば大丈夫」とは言い切れません。開いた時点で動作が始まることがあります。閉じたかどうかにかかわらず、ファイル名・拡張子・状況を控えて、すぐ報告してください。報告の要否を自己判断しないことが大切です。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Meiryo" w:cs="Meiryo" w:eastAsia="Meiryo" w:hAnsi="Meiryo"/>
        </w:rPr>
        <w:t xml:space="preserve">ID・パスワード・認証コードを入力する前に</w:t>
      </w:r>
    </w:p>
    <w:p>
      <w:pPr>
        <w:spacing w:after="10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ログイン画面が出ても、まずURLのドメインが正規かを確認します。特に、メールのリンクから飛んだ画面は要注意です。鍵マークや社名・ロゴが表示されていても安全とは限りません。認証コードは誰にも教えない、心当たりのないMFA承認はしない、が原則です。</w:t>
      </w:r>
    </w:p>
    <w:tbl>
      <w:tblPr>
        <w:tblW w:type="dxa" w:w="9638"/>
        <w:tblBorders>
          <w:top w:val="single" w:color="D7DEE6" w:sz="6"/>
          <w:left w:val="single" w:color="B42318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BEAE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入力してしまった場合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0"/>
                <w:szCs w:val="20"/>
              </w:rPr>
              <w:t xml:space="preserve">「入力してもすぐ変えれば報告不要」と自己判断しないでください。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すぐ報告し、そのパスワードを変更します。同じパスワードを使っている他サービスも変更が必要です。ログ確認やセッション無効化などの追加対応が必要かは、情報システムが判断します。</w:t>
            </w:r>
          </w:p>
        </w:tc>
      </w:tr>
    </w:tbl>
    <w:p>
      <w:pPr>
        <w:spacing w:after="9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ビジネスメール詐欺（BEC）と送金依頼</w:t>
      </w:r>
    </w:p>
    <w:p>
      <w:pPr>
        <w:spacing w:after="9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「振込先を変更してほしい」「至急このメールだけで送金してほしい」は、BECの典型サインです。経営者や取引先になりすまし、請求書の口座を差し替えてきます。署名や文面が普段どおりで本物に見えても、それだけで応じてはいけません。</w:t>
      </w:r>
    </w:p>
    <w:tbl>
      <w:tblPr>
        <w:tblW w:type="dxa" w:w="9638"/>
        <w:tblBorders>
          <w:top w:val="single" w:color="D7DEE6" w:sz="6"/>
          <w:left w:val="single" w:color="16314F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EAF0F6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送金・振込先変更を依頼されたら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メールだけで処理しない。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既知の電話番号など、メールとは別の経路で必ず確認する。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社内の承認ルート（経理・上長・法務など）を必ず通す。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すでに振り込んでいても、隠さず即報告する（送金停止できる可能性があります）。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3. アカウントを守る</w:t>
      </w:r>
    </w:p>
    <w:p>
      <w:pPr>
        <w:pStyle w:val="Heading2"/>
      </w:pPr>
      <w:r>
        <w:rPr>
          <w:rFonts w:ascii="Meiryo" w:cs="Meiryo" w:eastAsia="Meiryo" w:hAnsi="Meiryo"/>
        </w:rPr>
        <w:t xml:space="preserve">パスワードの基本</w:t>
      </w:r>
    </w:p>
    <w:tbl>
      <w:tblPr>
        <w:tblW w:type="dxa" w:w="963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09"/>
        <w:gridCol w:w="220"/>
        <w:gridCol w:w="4709"/>
      </w:tblGrid>
      <w:tr>
        <w:tc>
          <w:tcPr>
            <w:tcW w:type="dxa" w:w="4709"/>
            <w:tcBorders>
              <w:top w:val="single" w:color="B42318" w:sz="6"/>
              <w:left w:val="single" w:color="B42318" w:sz="24"/>
              <w:bottom w:val="single" w:color="B42318" w:sz="6"/>
              <w:right w:val="single" w:color="B42318" w:sz="6"/>
            </w:tcBorders>
            <w:shd w:fill="FBEAE8" w:val="clear"/>
            <w:tcMar>
              <w:top w:type="dxa" w:w="110"/>
              <w:left w:type="dxa" w:w="150"/>
              <w:bottom w:type="dxa" w:w="110"/>
              <w:right w:type="dxa" w:w="13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危険な習慣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複数サービスで同じパスワードを使い回す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推測されやすい文字列にする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初期パスワードのまま使い続ける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付箋・チャット・メールで共有する</w:t>
            </w:r>
          </w:p>
        </w:tc>
        <w:tc>
          <w:tcPr>
            <w:tcW w:type="dxa" w:w="2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4709"/>
            <w:tcBorders>
              <w:top w:val="single" w:color="2F6B4F" w:sz="6"/>
              <w:left w:val="single" w:color="2F6B4F" w:sz="24"/>
              <w:bottom w:val="single" w:color="2F6B4F" w:sz="6"/>
              <w:right w:val="single" w:color="2F6B4F" w:sz="6"/>
            </w:tcBorders>
            <w:shd w:fill="E7F1EB" w:val="clear"/>
            <w:tcMar>
              <w:top w:type="dxa" w:w="110"/>
              <w:left w:type="dxa" w:w="150"/>
              <w:bottom w:type="dxa" w:w="110"/>
              <w:right w:type="dxa" w:w="13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守りたい基本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サービスごとに違うパスワードにする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推測されにくいものにする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初期値は必ず変更する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保管方法は自社ルールに従う</w:t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5B6B7B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1F5F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5B6B7B"/>
                <w:sz w:val="21"/>
                <w:szCs w:val="21"/>
              </w:rPr>
              <w:t xml:space="preserve">なぜ使い回しが危険か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1か所が漏れると、同じパスワードを使った他のサービスまで一気に破られます（パスワードリスト攻撃）。具体的な文字数・更新頻度・管理ツール（パスワードマネージャー等）の可否は、自社ルールに従ってください。</w:t>
            </w:r>
          </w:p>
        </w:tc>
      </w:tr>
    </w:tbl>
    <w:p>
      <w:pPr>
        <w:spacing w:after="9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多要素認証（MFA）とMFA疲労攻撃</w:t>
      </w:r>
    </w:p>
    <w:p>
      <w:pPr>
        <w:spacing w:after="9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MFAは、パスワードに加えてもう一段の確認を求める仕組みで、乗っ取りを大きく防ぎます。ただし「設定していれば絶対に乗っ取られない」わけではありません。攻撃者が深夜に承認通知を何度も送りつけ、うんざりさせて承認させる「MFA疲労攻撃」があります。</w:t>
      </w:r>
    </w:p>
    <w:tbl>
      <w:tblPr>
        <w:tblW w:type="dxa" w:w="9638"/>
        <w:tblBorders>
          <w:top w:val="single" w:color="D7DEE6" w:sz="6"/>
          <w:left w:val="single" w:color="16314F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EAF0F6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承認は「相手にドアを開ける行為」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身に覚えのない承認通知は「拒否」が原則。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拒否したうえで、必ず報告してください。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もし押してしまったら、すぐ報告し、パスワード変更・ログ確認を依頼します（アカウント乗っ取りの可能性を前提に対応）。</w:t>
            </w:r>
          </w:p>
        </w:tc>
      </w:tr>
    </w:tbl>
    <w:p>
      <w:pPr>
        <w:spacing w:after="9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アカウント共有・権限管理</w:t>
      </w:r>
    </w:p>
    <w:p>
      <w:pPr>
        <w:spacing w:after="6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共有IDでの操作、退職者アカウントの放置、必要以上の権限、無期限・全体公開の共有リンクは避けたい状態です。アカウントは個人ごと、権限は最小限、共有は相手・範囲・期限を限定するのが基本です。権限の付与・棚卸しは情報システムと連携する運用ですが、利用者は「共有・公開しすぎない」を守ってください。</w:t>
      </w:r>
    </w:p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4. 端末とデータを守る</w:t>
      </w:r>
    </w:p>
    <w:p>
      <w:pPr>
        <w:pStyle w:val="Heading2"/>
      </w:pPr>
      <w:r>
        <w:rPr>
          <w:rFonts w:ascii="Meiryo" w:cs="Meiryo" w:eastAsia="Meiryo" w:hAnsi="Meiryo"/>
        </w:rPr>
        <w:t xml:space="preserve">更新（アップデート）を後回しにしない</w:t>
      </w:r>
    </w:p>
    <w:p>
      <w:pPr>
        <w:spacing w:after="12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更新は弱点（脆弱性）をふさぐ最も基本的な対策です。OSやブラウザの古いバージョンは攻撃の入口になります。業務アプリやルーター等の機器のファームウェアも対象です。更新の方法・タイミング（自動更新の可否、検証後の適用など）は、自社ルール・情報システムの指示に従ってください。</w:t>
      </w:r>
    </w:p>
    <w:p>
      <w:pPr>
        <w:pStyle w:val="Heading2"/>
      </w:pPr>
      <w:r>
        <w:rPr>
          <w:rFonts w:ascii="Meiryo" w:cs="Meiryo" w:eastAsia="Meiryo" w:hAnsi="Meiryo"/>
        </w:rPr>
        <w:t xml:space="preserve">マルウェア・ランサムウェア</w:t>
      </w:r>
    </w:p>
    <w:p>
      <w:pPr>
        <w:spacing w:after="9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マルウェアは端末に侵入して悪さをする不正プログラムの総称で、メール添付や不正サイトなどから感染します。ランサムウェアはファイルを暗号化し、復旧と引き換えに金銭を要求します。盗んだ情報の暴露をちらつかせる「二重恐喝」もあり、共有フォルダ経由で被害が一気に広がります。「払えば必ず復旧する」とは言えません。</w:t>
      </w:r>
    </w:p>
    <w:tbl>
      <w:tblPr>
        <w:tblW w:type="dxa" w:w="9638"/>
        <w:tblBorders>
          <w:top w:val="single" w:color="D7DEE6" w:sz="6"/>
          <w:left w:val="single" w:color="B42318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BEAE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ランサムウェアの疑い ── まずしてはいけないこと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0"/>
                <w:szCs w:val="20"/>
              </w:rPr>
              <w:t xml:space="preserve">次の操作は、復旧や原因究明を妨げるおそれがあります。現場の独断で行わないでください。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慌てて再起動・電源の入れ直しをする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端末を初期化する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暗号化ファイルや不審なファイルを削除する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現場の判断で身代金を支払う</w:t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2F6B4F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E7F1EB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とるべき初動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画面・状況をそのまま保全する（写真・スクリーンショット）。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ネットワーク切断や電源操作は、自社ルール・情報システムの指示に従う（証拠が消えることがあるため一律に決めない）。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情報システム・セキュリティ担当へ即時報告する。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Meiryo" w:cs="Meiryo" w:eastAsia="Meiryo" w:hAnsi="Meiryo"/>
        </w:rPr>
        <w:t xml:space="preserve">バックアップの意味</w:t>
      </w:r>
    </w:p>
    <w:p>
      <w:pPr>
        <w:spacing w:after="12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バックアップは「事故が起きない」ためではなく、「起きても戻せる」ための備えです。ランサムウェアで暗号化されたとき、端末の故障・紛失でデータを失ったとき、誤削除・誤操作のときに効きます。重要データは自社ルールに沿って保存し、勝手にローカルや私用環境へ退避しないでください。取得頻度・保存先・復旧手順は自社の運用に従います。</w:t>
      </w:r>
    </w:p>
    <w:p>
      <w:pPr>
        <w:pStyle w:val="Heading2"/>
      </w:pPr>
      <w:r>
        <w:rPr>
          <w:rFonts w:ascii="Meiryo" w:cs="Meiryo" w:eastAsia="Meiryo" w:hAnsi="Meiryo"/>
        </w:rPr>
        <w:t xml:space="preserve">端末・スマートフォン・USBの紛失</w:t>
      </w:r>
    </w:p>
    <w:tbl>
      <w:tblPr>
        <w:tblW w:type="dxa" w:w="963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09"/>
        <w:gridCol w:w="220"/>
        <w:gridCol w:w="4709"/>
      </w:tblGrid>
      <w:tr>
        <w:tc>
          <w:tcPr>
            <w:tcW w:type="dxa" w:w="4709"/>
            <w:tcBorders>
              <w:top w:val="single" w:color="B42318" w:sz="6"/>
              <w:left w:val="single" w:color="B42318" w:sz="24"/>
              <w:bottom w:val="single" w:color="B42318" w:sz="6"/>
              <w:right w:val="single" w:color="B42318" w:sz="6"/>
            </w:tcBorders>
            <w:shd w:fill="FBEAE8" w:val="clear"/>
            <w:tcMar>
              <w:top w:type="dxa" w:w="110"/>
              <w:left w:type="dxa" w:w="150"/>
              <w:bottom w:type="dxa" w:w="110"/>
              <w:right w:type="dxa" w:w="13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やりがちな失敗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翌朝まで自分で探してから報告する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「ロックしているから大丈夫」と放置する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「私物だから」と黙っておく</w:t>
            </w:r>
          </w:p>
        </w:tc>
        <w:tc>
          <w:tcPr>
            <w:tcW w:type="dxa" w:w="2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4709"/>
            <w:tcBorders>
              <w:top w:val="single" w:color="2F6B4F" w:sz="6"/>
              <w:left w:val="single" w:color="2F6B4F" w:sz="24"/>
              <w:bottom w:val="single" w:color="2F6B4F" w:sz="6"/>
              <w:right w:val="single" w:color="2F6B4F" w:sz="6"/>
            </w:tcBorders>
            <w:shd w:fill="E7F1EB" w:val="clear"/>
            <w:tcMar>
              <w:top w:type="dxa" w:w="110"/>
              <w:left w:type="dxa" w:w="150"/>
              <w:bottom w:type="dxa" w:w="110"/>
              <w:right w:type="dxa" w:w="13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正しい初動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気づいた時点ですぐ報告する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リモートロック・ワイプ・停止を依頼する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個人情報・機密が含まれるかも申告する</w:t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B58A3A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7EFDD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「画面ロックしていれば報告不要」は誤り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ロックは突破までの時間稼ぎにすぎず、初期化やSIM抜取りのリスクが残ります。クラウドにログインしたままなら被害はさらに大きくなり得ます。紛失に気づいたら、探すより先に報告してください。状況により警察・交通機関への届出も検討します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5. 場所と経路に注意する</w:t>
      </w:r>
    </w:p>
    <w:p>
      <w:pPr>
        <w:pStyle w:val="Heading2"/>
      </w:pPr>
      <w:r>
        <w:rPr>
          <w:rFonts w:ascii="Meiryo" w:cs="Meiryo" w:eastAsia="Meiryo" w:hAnsi="Meiryo"/>
        </w:rPr>
        <w:t xml:space="preserve">私物端末・私用クラウド・シャドーIT</w:t>
      </w:r>
    </w:p>
    <w:p>
      <w:pPr>
        <w:spacing w:after="12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私用クラウドへの業務資料アップロード、私用メール・私物USBでの持ち出し、未承認アプリの利用は、会社が把握・保護・追跡できない状態（シャドーIT）を生みます。一方で「全面禁止」が目的ではありません。承認された範囲で安全に使い、すでに使っていたら正直に申告して正規ツールへ移行しましょう。</w:t>
      </w:r>
    </w:p>
    <w:p>
      <w:pPr>
        <w:pStyle w:val="Heading2"/>
      </w:pPr>
      <w:r>
        <w:rPr>
          <w:rFonts w:ascii="Meiryo" w:cs="Meiryo" w:eastAsia="Meiryo" w:hAnsi="Meiryo"/>
        </w:rPr>
        <w:t xml:space="preserve">クラウド共有・チャットの注意</w:t>
      </w:r>
    </w:p>
    <w:p>
      <w:pPr>
        <w:spacing w:after="12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共有リンクは、相手・権限（閲覧／編集）・期限を確認します。社外メンバーが入っているチャットルームに不要な情報を流さないこと、添付・貼付の前に宛先と公開範囲を再確認することが大切です。共有設定のミスは「気づきにくい漏えい」につながります。</w:t>
      </w:r>
    </w:p>
    <w:p>
      <w:pPr>
        <w:pStyle w:val="Heading2"/>
      </w:pPr>
      <w:r>
        <w:rPr>
          <w:rFonts w:ascii="Meiryo" w:cs="Meiryo" w:eastAsia="Meiryo" w:hAnsi="Meiryo"/>
        </w:rPr>
        <w:t xml:space="preserve">リモートワーク・外出先の注意</w:t>
      </w:r>
    </w:p>
    <w:p>
      <w:pPr>
        <w:spacing w:after="9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カフェや新幹線での画面・資料の見られ、顧客名・案件名を声に出すこと、公共Wi-Fiへの安易な接続、離席時の置き忘れに注意します。「公共Wi-Fiは常に禁止」とは限りません。自社ルールに従いつつ、見られ・聞かれ・置き忘れに常に注意する、が現実的な構えです。</w:t>
      </w:r>
    </w:p>
    <w:tbl>
      <w:tblPr>
        <w:tblW w:type="dxa" w:w="9638"/>
        <w:tblBorders>
          <w:top w:val="single" w:color="D7DEE6" w:sz="6"/>
          <w:left w:val="single" w:color="237A75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E3F0EF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1"/>
                <w:szCs w:val="21"/>
              </w:rPr>
              <w:t xml:space="preserve">外出先での3つの注意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見られない ── 画面・資料を周囲から見えない向きに。のぞき見防止フィルターも有効。</w:t>
            </w:r>
          </w:p>
          <w:p>
            <w:pPr>
              <w:spacing w:after="4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聞かれない ── 顧客名・案件名・金額を公共の場で声に出さない。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置き忘れない ── 離席時に端末・書類を放置しない。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6. 内部・委託先・AIのリスク</w:t>
      </w:r>
    </w:p>
    <w:p>
      <w:pPr>
        <w:pStyle w:val="Heading2"/>
      </w:pPr>
      <w:r>
        <w:rPr>
          <w:rFonts w:ascii="Meiryo" w:cs="Meiryo" w:eastAsia="Meiryo" w:hAnsi="Meiryo"/>
        </w:rPr>
        <w:t xml:space="preserve">内部不正・退職時の持出し</w:t>
      </w:r>
    </w:p>
    <w:p>
      <w:pPr>
        <w:spacing w:after="12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退職・転職前に業務データを私用環境へ持ち出す、前職の資料を新しい職場へ持ち込む、必要のない情報を閲覧・コピーする、「自分が作ったから」と個人で持ち出す——これらは内部不正につながります。悪意がなくても問題になります。営業秘密の法的論点（秘密管理性・有用性・非公知性の3要件など）の詳細は第13回で扱います。本冊子では、行動として「未承認環境に持ち出さない」を徹底してください。</w:t>
      </w:r>
    </w:p>
    <w:p>
      <w:pPr>
        <w:pStyle w:val="Heading2"/>
      </w:pPr>
      <w:r>
        <w:rPr>
          <w:rFonts w:ascii="Meiryo" w:cs="Meiryo" w:eastAsia="Meiryo" w:hAnsi="Meiryo"/>
        </w:rPr>
        <w:t xml:space="preserve">委託先・サプライチェーンのリスク</w:t>
      </w:r>
    </w:p>
    <w:p>
      <w:pPr>
        <w:spacing w:after="12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自社が万全でも、セキュリティが弱い委託先・子会社が踏み台になり、取引メール経由で自社に被害が及ぶことがあります。委託先からの不審な連絡も自社同様に確認し、委託先への情報提供は必要最小限・正規手順で行い、事故が疑われたら速やかに連携・報告してください。</w:t>
      </w:r>
    </w:p>
    <w:p>
      <w:pPr>
        <w:pStyle w:val="Heading2"/>
      </w:pPr>
      <w:r>
        <w:rPr>
          <w:rFonts w:ascii="Meiryo" w:cs="Meiryo" w:eastAsia="Meiryo" w:hAnsi="Meiryo"/>
        </w:rPr>
        <w:t xml:space="preserve">AIをめぐるサイバーリスク</w:t>
      </w:r>
    </w:p>
    <w:p>
      <w:pPr>
        <w:spacing w:after="6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AIによって自然な文章や偽の音声・なりすましが作られ、フィッシングが巧妙化しています。また、機密情報・個人情報をAIツールに入力すると外部に渡るおそれがあります。AIが「事故か否か」を最終判断するわけではありません。承認済み環境を使い、情報の入力制限を守り、最後は人と所定の体制で確認してください（生成AIの利用ルールの詳細は第11回）。</w:t>
      </w:r>
    </w:p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7. 事故が起きたときの初動</w:t>
      </w:r>
    </w:p>
    <w:tbl>
      <w:tblPr>
        <w:tblW w:type="dxa" w:w="9638"/>
        <w:tblBorders>
          <w:top w:val="single" w:color="D7DEE6" w:sz="6"/>
          <w:left w:val="single" w:color="B42318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BEAE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まず、してはいけないこと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0"/>
                <w:szCs w:val="20"/>
              </w:rPr>
              <w:t xml:space="preserve">隠す・様子見をする／証拠を消す／自己流の操作（再起動・初期化・削除）をする／独断で支払う。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報告して怒られることはありません。隠して発見が遅れることが、最も会社に損害を与えます。「リンクを押しただけ」「すぐ閉じた」でも、報告を省かないでください。</w:t>
            </w:r>
          </w:p>
        </w:tc>
      </w:tr>
    </w:tbl>
    <w:p>
      <w:pPr>
        <w:spacing w:after="9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インシデント初動フロー</w:t>
      </w:r>
    </w:p>
    <w:p>
      <w:pPr>
        <w:pStyle w:val="ListParagraph"/>
        <w:numPr>
          <w:ilvl w:val="0"/>
          <w:numId w:val="3"/>
        </w:numPr>
        <w:spacing w:after="60" w:line="306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不審・異常・紛失・誤操作に気づく。</w:t>
      </w:r>
    </w:p>
    <w:p>
      <w:pPr>
        <w:pStyle w:val="ListParagraph"/>
        <w:numPr>
          <w:ilvl w:val="0"/>
          <w:numId w:val="3"/>
        </w:numPr>
        <w:spacing w:after="60" w:line="306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操作を止める（開かない・押さない・消さない）。</w:t>
      </w:r>
    </w:p>
    <w:p>
      <w:pPr>
        <w:pStyle w:val="ListParagraph"/>
        <w:numPr>
          <w:ilvl w:val="0"/>
          <w:numId w:val="3"/>
        </w:numPr>
        <w:spacing w:after="60" w:line="306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画面・メール・状況を保全する（写真・スクリーンショット）。</w:t>
      </w:r>
    </w:p>
    <w:p>
      <w:pPr>
        <w:pStyle w:val="ListParagraph"/>
        <w:numPr>
          <w:ilvl w:val="0"/>
          <w:numId w:val="3"/>
        </w:numPr>
        <w:spacing w:after="60" w:line="306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上長・情報システム・セキュリティ担当へ報告する。</w:t>
      </w:r>
    </w:p>
    <w:p>
      <w:pPr>
        <w:pStyle w:val="ListParagraph"/>
        <w:numPr>
          <w:ilvl w:val="0"/>
          <w:numId w:val="3"/>
        </w:numPr>
        <w:spacing w:after="60" w:line="306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既に開いた・入力した・承認した事実も、隠さず伝える。</w:t>
      </w:r>
    </w:p>
    <w:p>
      <w:pPr>
        <w:pStyle w:val="ListParagraph"/>
        <w:numPr>
          <w:ilvl w:val="0"/>
          <w:numId w:val="3"/>
        </w:numPr>
        <w:spacing w:after="60" w:line="306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指示に従って、隔離・変更・確認を行う。</w:t>
      </w:r>
    </w:p>
    <w:p>
      <w:pPr>
        <w:spacing w:after="7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証拠保全と報告のポイント</w:t>
      </w:r>
    </w:p>
    <w:tbl>
      <w:tblPr>
        <w:tblW w:type="dxa" w:w="963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09"/>
        <w:gridCol w:w="220"/>
        <w:gridCol w:w="4709"/>
      </w:tblGrid>
      <w:tr>
        <w:tc>
          <w:tcPr>
            <w:tcW w:type="dxa" w:w="4709"/>
            <w:tcBorders>
              <w:top w:val="single" w:color="237A75" w:sz="6"/>
              <w:left w:val="single" w:color="237A75" w:sz="24"/>
              <w:bottom w:val="single" w:color="237A75" w:sz="6"/>
              <w:right w:val="single" w:color="237A75" w:sz="6"/>
            </w:tcBorders>
            <w:shd w:fill="E3F0EF" w:val="clear"/>
            <w:tcMar>
              <w:top w:type="dxa" w:w="110"/>
              <w:left w:type="dxa" w:w="150"/>
              <w:bottom w:type="dxa" w:w="110"/>
              <w:right w:type="dxa" w:w="13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1"/>
                <w:szCs w:val="21"/>
              </w:rPr>
              <w:t xml:space="preserve">残すもの（保全）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不審メール（ヘッダー・本文・添付名）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URL、画面のスクリーンショット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端末の状態・表示メッセージ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いつ・何を・どう操作したかのメモ</w:t>
            </w:r>
          </w:p>
        </w:tc>
        <w:tc>
          <w:tcPr>
            <w:tcW w:type="dxa" w:w="2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4709"/>
            <w:tcBorders>
              <w:top w:val="single" w:color="16314F" w:sz="6"/>
              <w:left w:val="single" w:color="16314F" w:sz="24"/>
              <w:bottom w:val="single" w:color="16314F" w:sz="6"/>
              <w:right w:val="single" w:color="16314F" w:sz="6"/>
            </w:tcBorders>
            <w:shd w:fill="EAF0F6" w:val="clear"/>
            <w:tcMar>
              <w:top w:type="dxa" w:w="110"/>
              <w:left w:type="dxa" w:w="150"/>
              <w:bottom w:type="dxa" w:w="110"/>
              <w:right w:type="dxa" w:w="13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伝えること（報告）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発見の日時・場所・経路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対象の端末・アカウント・サービス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入力や承認をしたかどうか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個人情報・機密情報が含まれる可能性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8. 行動原則と自社の報告先</w:t>
      </w:r>
    </w:p>
    <w:tbl>
      <w:tblPr>
        <w:tblW w:type="dxa" w:w="9638"/>
        <w:tblBorders>
          <w:top w:val="single" w:color="D7DEE6" w:sz="6"/>
          <w:left w:val="single" w:color="B58A3A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7EFDD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持ち帰る行動原則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隠さず・消さず・すぐ報告。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開く前に止まる。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相手とURLを、別経路で確認する。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94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気づいたら、迷う前に報告する。</w:t>
            </w:r>
          </w:p>
        </w:tc>
      </w:tr>
    </w:tbl>
    <w:p>
      <w:pPr>
        <w:spacing w:after="11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spacing w:after="10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いざというときに迷わないよう、自社の連絡先をあらかじめ記入し、見える場所に置いてください。本資料には実在の連絡先は記載していません。</w:t>
      </w:r>
    </w:p>
    <w:tbl>
      <w:tblPr>
        <w:tblW w:type="dxa" w:w="9638"/>
        <w:tblBorders>
          <w:top w:val="single" w:color="B58A3A" w:sz="8"/>
          <w:left w:val="single" w:color="B58A3A" w:sz="8"/>
          <w:bottom w:val="single" w:color="B58A3A" w:sz="8"/>
          <w:right w:val="single" w:color="B58A3A" w:sz="8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7EFDD" w:val="clear"/>
            <w:tcMar>
              <w:top w:type="dxa" w:w="120"/>
              <w:left w:type="dxa" w:w="170"/>
              <w:bottom w:type="dxa" w:w="130"/>
              <w:right w:type="dxa" w:w="15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【要自社記入】</w:t>
            </w: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情報セキュリティ事故・不審メールの報告先</w:t>
            </w:r>
          </w:p>
          <w:p>
            <w:pPr>
              <w:pBdr>
                <w:bottom w:val="single" w:color="5B6B7B" w:sz="4" w:space="3"/>
              </w:pBdr>
              <w:spacing w:after="60" w:before="40" w:line="360" w:lineRule="auto"/>
            </w:pPr>
            <w:r>
              <w:rPr>
                <w:rFonts w:ascii="Meiryo" w:cs="Meiryo" w:eastAsia="Meiryo" w:hAnsi="Meiryo"/>
                <w:color w:val="243B53"/>
                <w:sz w:val="19"/>
                <w:szCs w:val="19"/>
              </w:rPr>
              <w:t xml:space="preserve">第一報の連絡先（部署名・担当）：</w:t>
            </w:r>
          </w:p>
          <w:p>
            <w:pPr>
              <w:pBdr>
                <w:bottom w:val="single" w:color="5B6B7B" w:sz="4" w:space="3"/>
              </w:pBdr>
              <w:spacing w:after="60" w:before="40" w:line="360" w:lineRule="auto"/>
            </w:pPr>
            <w:r>
              <w:rPr>
                <w:rFonts w:ascii="Meiryo" w:cs="Meiryo" w:eastAsia="Meiryo" w:hAnsi="Meiryo"/>
                <w:color w:val="243B53"/>
                <w:sz w:val="19"/>
                <w:szCs w:val="19"/>
              </w:rPr>
              <w:t xml:space="preserve">連絡方法（電話番号・メール・チャット等）：</w:t>
            </w:r>
          </w:p>
          <w:p>
            <w:pPr>
              <w:pBdr>
                <w:bottom w:val="single" w:color="5B6B7B" w:sz="4" w:space="3"/>
              </w:pBdr>
              <w:spacing w:after="60" w:before="40" w:line="360" w:lineRule="auto"/>
            </w:pPr>
            <w:r>
              <w:rPr>
                <w:rFonts w:ascii="Meiryo" w:cs="Meiryo" w:eastAsia="Meiryo" w:hAnsi="Meiryo"/>
                <w:color w:val="243B53"/>
                <w:sz w:val="19"/>
                <w:szCs w:val="19"/>
              </w:rPr>
              <w:t xml:space="preserve">夜間・休日の連絡先：</w:t>
            </w:r>
          </w:p>
          <w:p>
            <w:pPr>
              <w:pBdr>
                <w:bottom w:val="single" w:color="5B6B7B" w:sz="4" w:space="3"/>
              </w:pBdr>
              <w:spacing w:after="60" w:before="40" w:line="360" w:lineRule="auto"/>
            </w:pPr>
            <w:r>
              <w:rPr>
                <w:rFonts w:ascii="Meiryo" w:cs="Meiryo" w:eastAsia="Meiryo" w:hAnsi="Meiryo"/>
                <w:color w:val="243B53"/>
                <w:sz w:val="19"/>
                <w:szCs w:val="19"/>
              </w:rPr>
              <w:t xml:space="preserve">情報システム／セキュリティ担当窓口：</w:t>
            </w:r>
          </w:p>
          <w:p>
            <w:pPr>
              <w:pBdr>
                <w:bottom w:val="single" w:color="5B6B7B" w:sz="4" w:space="3"/>
              </w:pBdr>
              <w:spacing w:after="60" w:before="40" w:line="360" w:lineRule="auto"/>
            </w:pPr>
            <w:r>
              <w:rPr>
                <w:rFonts w:ascii="Meiryo" w:cs="Meiryo" w:eastAsia="Meiryo" w:hAnsi="Meiryo"/>
                <w:color w:val="243B53"/>
                <w:sz w:val="19"/>
                <w:szCs w:val="19"/>
              </w:rPr>
              <w:t xml:space="preserve">個人情報が関係する場合の追加連絡先：</w:t>
            </w:r>
          </w:p>
        </w:tc>
      </w:tr>
    </w:tbl>
    <w:p>
      <w:pPr>
        <w:spacing w:after="11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16314F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EAF0F6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最後に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この冊子だけで、会社のセキュリティ体制が完成するわけではありません。日々の行動と、自社ルール・情報システムの指示、継続的な訓練と合わせて、はじめて機能します。困ったとき・迷ったときは、一人で抱えずに報告・相談してください。</w:t>
            </w:r>
          </w:p>
        </w:tc>
      </w:tr>
    </w:tbl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7DEE6" w:sz="6" w:space="6"/>
      </w:pBdr>
      <w:tabs>
        <w:tab w:val="right" w:pos="9638"/>
      </w:tabs>
    </w:pPr>
    <w:r>
      <w:rPr>
        <w:rFonts w:ascii="Meiryo" w:cs="Meiryo" w:eastAsia="Meiryo" w:hAnsi="Meiryo"/>
        <w:color w:val="8A99A8"/>
        <w:sz w:val="16"/>
        <w:szCs w:val="16"/>
      </w:rPr>
      <w:t xml:space="preserve">Legal GPT｜法務・総務のための社内研修資料20選　第10回</w:t>
    </w:r>
    <w:r>
      <w:rPr>
        <w:rFonts w:ascii="Meiryo" w:cs="Meiryo" w:eastAsia="Meiryo" w:hAnsi="Meiryo"/>
        <w:color w:val="8A99A8"/>
        <w:sz w:val="16"/>
        <w:szCs w:val="16"/>
      </w:rPr>
      <w:t xml:space="preserve">	情報セキュリティ ハンドブック　</w:t>
    </w:r>
    <w:r>
      <w:rPr>
        <w:rFonts w:ascii="Meiryo" w:cs="Meiryo" w:eastAsia="Meiryo" w:hAnsi="Meiryo"/>
        <w:color w:val="8A99A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8A99A8"/>
        <w:sz w:val="16"/>
        <w:szCs w:val="16"/>
      </w:rPr>
      <w:t xml:space="preserve"> / </w:t>
    </w:r>
    <w:r>
      <w:rPr>
        <w:rFonts w:ascii="Meiryo" w:cs="Meiryo" w:eastAsia="Meiryo" w:hAnsi="Meiryo"/>
        <w:color w:val="8A99A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88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460" w:hanging="300"/>
      </w:pPr>
      <w:rPr>
        <w:color w:val="16314F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 w:before="0"/>
    </w:pPr>
    <w:rPr>
      <w:rFonts w:ascii="Meiryo" w:cs="Meiryo" w:eastAsia="Meiryo" w:hAnsi="Meiryo"/>
      <w:b/>
      <w:bCs/>
      <w:color w:val="16314F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B58A3A" w:sz="14" w:space="6"/>
      </w:pBdr>
      <w:spacing w:after="160" w:before="3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left w:val="single" w:color="B58A3A" w:sz="24" w:space="8"/>
      </w:pBdr>
      <w:spacing w:after="120" w:before="240"/>
      <w:outlineLvl w:val="1"/>
    </w:pPr>
    <w:rPr>
      <w:rFonts w:ascii="Meiryo" w:cs="Meiryo" w:eastAsia="Meiryo" w:hAnsi="Meiryo"/>
      <w:b/>
      <w:bCs/>
      <w:color w:val="243B53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80" w:before="180"/>
      <w:outlineLvl w:val="2"/>
    </w:pPr>
    <w:rPr>
      <w:rFonts w:ascii="Meiryo" w:cs="Meiryo" w:eastAsia="Meiryo" w:hAnsi="Meiryo"/>
      <w:b/>
      <w:bCs/>
      <w:color w:val="237A75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2026-06-21T12:16:00.794Z</dcterms:created>
  <dcterms:modified xsi:type="dcterms:W3CDTF">2026-06-21T12:16:00.795Z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