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0"/>
      </w:pPr>
      <w:r>
        <w:rPr>
          <w:rFonts w:ascii="Meiryo" w:cs="Meiryo" w:eastAsia="Meiryo" w:hAnsi="Meiryo"/>
          <w:b/>
          <w:bCs/>
          <w:color w:val="B58A3A"/>
          <w:sz w:val="20"/>
          <w:szCs w:val="20"/>
        </w:rPr>
        <w:t xml:space="preserve">法務・総務のための社内研修資料20選　第11回</w:t>
      </w:r>
    </w:p>
    <w:p>
      <w:pPr>
        <w:pBdr>
          <w:bottom w:val="single" w:color="16314F" w:sz="16" w:space="8"/>
        </w:pBdr>
        <w:spacing w:after="80"/>
      </w:pPr>
      <w:r>
        <w:rPr>
          <w:rFonts w:ascii="Meiryo" w:cs="Meiryo" w:eastAsia="Meiryo" w:hAnsi="Meiryo"/>
          <w:b/>
          <w:bCs/>
          <w:color w:val="16314F"/>
          <w:sz w:val="40"/>
          <w:szCs w:val="40"/>
        </w:rPr>
        <w:t xml:space="preserve">確認テスト　解答・解説集</w:t>
      </w:r>
    </w:p>
    <w:p>
      <w:pPr>
        <w:spacing w:after="200"/>
      </w:pPr>
      <w:r>
        <w:rPr>
          <w:rFonts w:ascii="Meiryo" w:cs="Meiryo" w:eastAsia="Meiryo" w:hAnsi="Meiryo"/>
          <w:color w:val="5B6B7A"/>
          <w:sz w:val="22"/>
          <w:szCs w:val="22"/>
        </w:rPr>
        <w:t xml:space="preserve">全12問の正解・関連リスク・現場対応・根拠・対応スライド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項目</w:t>
            </w:r>
          </w:p>
        </w:tc>
        <w:tc>
          <w:tcPr>
            <w:tcW w:type="dxa" w:w="696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対象</w:t>
            </w:r>
          </w:p>
        </w:tc>
        <w:tc>
          <w:tcPr>
            <w:tcW w:type="dxa" w:w="69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講師・研修運営担当者・採点者</w:t>
            </w:r>
          </w:p>
        </w:tc>
      </w:tr>
      <w:tr>
        <w:tc>
          <w:tcPr>
            <w:tcW w:type="dxa" w:w="24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配点</w:t>
            </w:r>
          </w:p>
        </w:tc>
        <w:tc>
          <w:tcPr>
            <w:tcW w:type="dxa" w:w="69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各1点・12点満点（100点換算する場合は1問あたり約8.3点）</w:t>
            </w:r>
          </w:p>
        </w:tc>
      </w:tr>
      <w:tr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位置づけ</w:t>
            </w:r>
          </w:p>
        </w:tc>
        <w:tc>
          <w:tcPr>
            <w:tcW w:type="dxa" w:w="69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シリーズ第11回　生成AI利用研修の解答・解説</w:t>
            </w:r>
          </w:p>
        </w:tc>
      </w:tr>
      <w:tr>
        <w:tc>
          <w:tcPr>
            <w:tcW w:type="dxa" w:w="24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法令・制度基準日</w:t>
            </w:r>
          </w:p>
        </w:tc>
        <w:tc>
          <w:tcPr>
            <w:tcW w:type="dxa" w:w="69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2026年6月18日</w:t>
            </w:r>
          </w:p>
        </w:tc>
      </w:tr>
    </w:tbl>
    <w:p>
      <w:pPr>
        <w:spacing w:after="160"/>
      </w:pPr>
      <w:r>
        <w:rPr>
          <w:rFonts w:ascii="Meiryo" w:cs="Meiryo" w:eastAsia="Meiryo" w:hAnsi="Meiryo"/>
        </w:rPr>
        <w:t xml:space="preserve"/>
      </w:r>
    </w:p>
    <w:tbl>
      <w:tblPr>
        <w:tblW w:type="dxa" w:w="9360"/>
        <w:tblBorders>
          <w:top w:val="single" w:color="B58A3A" w:sz="4"/>
          <w:left w:val="single" w:color="B58A3A" w:sz="18"/>
          <w:bottom w:val="single" w:color="B58A3A" w:sz="4"/>
          <w:right w:val="single" w:color="B58A3A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6EFE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本資料の位置づけ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本解説は研修用の整理です。法的・技術的な評価を断定するものではなく、個別事案は専門部署・専門家に確認してください。『法令上の義務／ガイドライン上の推奨／自社ルール』の区別を意識して解説しています。各問の『自社規程で確認すべき事項』は、自社の規程に合わせて補充してください。</w:t>
            </w:r>
          </w:p>
        </w:tc>
      </w:tr>
    </w:tbl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第1部　○×問題</w:t>
      </w:r>
    </w:p>
    <w:p>
      <w:pPr>
        <w:pStyle w:val="Heading2"/>
      </w:pPr>
      <w:r>
        <w:rPr>
          <w:rFonts w:ascii="Meiryo" w:cs="Meiryo" w:eastAsia="Meiryo" w:hAnsi="Meiryo"/>
        </w:rPr>
        <w:t xml:space="preserve">問1（○×）</w:t>
      </w:r>
    </w:p>
    <w:p>
      <w:pPr>
        <w:spacing w:after="80" w:before="0" w:line="276"/>
      </w:pP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✕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観点</w:t>
            </w:r>
          </w:p>
        </w:tc>
        <w:tc>
          <w:tcPr>
            <w:tcW w:type="dxa" w:w="67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関連するAI利用リスク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入力情報・機密情報・個人情報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どの問題か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入力情報の問題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解説（なぜこの正解か）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社内承認済み環境でも、入力してよい情報の範囲や利用目的は社内ルールで定められています。『承認済み＝何でも入力可』ではありません。個人情報・契約情報・営業秘密などは、承認済み環境であっても入力の可否・加工の要否を確認する必要があります。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入力前に情報の分類を確認し、迷えば上長・所管部署へ相談する。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根拠の区分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自社ルール（個人情報保護法・営業秘密管理の趣旨を含む）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スライド12・13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承認済みツールでの入力可能情報の範囲、入力前承認の要否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問2（○×）</w:t>
      </w:r>
    </w:p>
    <w:p>
      <w:pPr>
        <w:spacing w:after="80" w:before="0" w:line="276"/>
      </w:pP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○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観点</w:t>
            </w:r>
          </w:p>
        </w:tc>
        <w:tc>
          <w:tcPr>
            <w:tcW w:type="dxa" w:w="67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関連するAI利用リスク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誤情報・ハルシネーション・出力確認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どの問題か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出力確認の問題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解説（なぜこの正解か）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生成AIは事実と異なる内容や、実在しない法令・判例・URLをもっともらしく出力することがあります（ハルシネーション）。法令・制度・判例・行政資料は必ず公式の一次資料で確認します。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法令・判例・数値・出典は一次資料で裏取りし、人が確認してから使う。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根拠の区分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自社ルール（情報の正確性確保。確認義務の程度は業務により異なる）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スライド16・17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出力確認・承認フロー、社内通知前の確認手順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問3（○×）</w:t>
      </w:r>
    </w:p>
    <w:p>
      <w:pPr>
        <w:spacing w:after="80" w:before="0" w:line="276"/>
      </w:pP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✕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観点</w:t>
            </w:r>
          </w:p>
        </w:tc>
        <w:tc>
          <w:tcPr>
            <w:tcW w:type="dxa" w:w="67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関連するAI利用リスク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著作権・社外発信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どの問題か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著作権の問題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解説（なぜこの正解か）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『AI生成物だから侵害にならない』とは言えません。既存著作物との類似性・依拠性等により、侵害となる場合があります。逆に『必ず侵害になる』『必ず著作権が発生する／発生しない』とも言えず、個別事情で判断されます。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社外利用前に類似性・権利関係を確認し、必要に応じ法務・知財・広報へ相談する。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根拠の区分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文化庁『AIと著作権に関する考え方』の整理（断定は不可）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スライド17・18・19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著作権・知財管理ルール、社外利用前の権利確認手順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第2部　四肢択一</w:t>
      </w:r>
    </w:p>
    <w:p>
      <w:pPr>
        <w:pStyle w:val="Heading2"/>
      </w:pPr>
      <w:r>
        <w:rPr>
          <w:rFonts w:ascii="Meiryo" w:cs="Meiryo" w:eastAsia="Meiryo" w:hAnsi="Meiryo"/>
        </w:rPr>
        <w:t xml:space="preserve">問4（四肢択一）</w:t>
      </w:r>
    </w:p>
    <w:p>
      <w:pPr>
        <w:spacing w:after="80" w:before="0" w:line="276"/>
      </w:pP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エ　既に自社サイトで公開済みのプレスリリース本文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観点</w:t>
            </w:r>
          </w:p>
        </w:tc>
        <w:tc>
          <w:tcPr>
            <w:tcW w:type="dxa" w:w="67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関連するAI利用リスク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入力情報の判断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どの問題か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入力情報の問題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解説（なぜこの正解か）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ア（個人情報・相談内容）、イ（未公表情報）、ウ（契約・秘密情報）は、外部AIへの入力を避けるべき情報です。エの既に公開済みの情報は相対的にリスクが低いといえます。ただし公開情報でも、組み合わせや文脈により配慮が必要な場合があります。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入力前に情報の分類を確認し、非公開・秘密・個人情報は加工または社内承認済み環境で扱う。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根拠の区分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自社ルール（情報分類・入力禁止情報の定義）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スライド9・10・11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入力禁止情報の分類、情報の機密区分の定義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問5（四肢択一）</w:t>
      </w:r>
    </w:p>
    <w:p>
      <w:pPr>
        <w:spacing w:after="80" w:before="0" w:line="276"/>
      </w:pP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イ　入力内容が学習・保存・第三者提供される可能性があるため、業務情報の入力は原則避け、社内承認済み環境を使う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観点</w:t>
            </w:r>
          </w:p>
        </w:tc>
        <w:tc>
          <w:tcPr>
            <w:tcW w:type="dxa" w:w="67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関連するAI利用リスク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社内承認済みAIと外部AI・個人アカウントの区別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どの問題か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入力情報・機密情報の問題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解説（なぜこの正解か）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無料サービスや個人アカウントは、入力が学習・保存・第三者提供される可能性があり、会社の管理外でログや責任の所在も不明確です。業務情報の入力は原則避け、社内承認済み環境を使います。端末が会社のものでも個人アカウント利用は原則不可、有料版でも規約・設定の確認は必要です。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業務では社内承認済みのアカウント・環境を使い、未承認サービスや個人アカウントに業務情報を入れない。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根拠の区分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自社ルール／個人情報保護委員会の注意喚起の趣旨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スライド12・13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承認済みAIツール一覧、外部AI・無料AI・個人アカウント利用の可否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問6（四肢択一）</w:t>
      </w:r>
    </w:p>
    <w:p>
      <w:pPr>
        <w:spacing w:after="80" w:before="0" w:line="276"/>
      </w:pP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ウ　第三者の著作物・ブランド・人物等に似ていないか、事実誤認や誇大表示がないかを確認し、必要に応じ法務・広報・上長の確認を取る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観点</w:t>
            </w:r>
          </w:p>
        </w:tc>
        <w:tc>
          <w:tcPr>
            <w:tcW w:type="dxa" w:w="67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関連するAI利用リスク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社外発信・著作権・広告表現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どの問題か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社外発信の問題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解説（なぜこの正解か）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社外発信物は、第三者の権利侵害・事実誤認・誇大表示等のリスクを公開前に確認する必要があります（景品表示法・薬機法等の別法令にも注意）。『AIが作った』ことは権利確認を不要にしませんし、『○○風』指定はむしろリスクが高い対応です。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社外利用前チェックを行い、権利・表現・別法令を確認し、必要な承認（法務・広報・上長）を取得する。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根拠の区分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自社ルール（広報・広告ルール）／文化庁の考え方／関連法令の趣旨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スライド18・19・22・27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広告・広報・SNS投稿ルール、社外利用前チェックの承認フロー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問7（四肢択一）</w:t>
      </w:r>
    </w:p>
    <w:p>
      <w:pPr>
        <w:spacing w:after="80" w:before="0" w:line="276"/>
      </w:pP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ウ　AIは補助として使い、人がレビューし責任者が承認する。最終判断をAIに委ねない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観点</w:t>
            </w:r>
          </w:p>
        </w:tc>
        <w:tc>
          <w:tcPr>
            <w:tcW w:type="dxa" w:w="67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関連するAI利用リスク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高リスク利用・人による確認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どの問題か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高リスク利用の問題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解説（なぜこの正解か）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契約・人事・採用・与信・安全等の高リスク業務では、AIを最終判断者にしてはいけません。人がレビューし責任者が承認します。AIに判断を委ねても責任はAIに移らず、利用した人・組織が責任を負います。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高リスク利用ではAIを補助に限定し、人のレビューと責任者承認、必要な相談・記録を行う。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根拠の区分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自社ルール／AI事業者ガイドラインの『人間中心』の考え方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スライド23・34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高リスク利用の承認手続、AI利用方針（人事・採用・契約等）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第3部　ケース判断</w:t>
      </w:r>
    </w:p>
    <w:p>
      <w:pPr>
        <w:pStyle w:val="Heading2"/>
      </w:pPr>
      <w:r>
        <w:rPr>
          <w:rFonts w:ascii="Meiryo" w:cs="Meiryo" w:eastAsia="Meiryo" w:hAnsi="Meiryo"/>
        </w:rPr>
        <w:t xml:space="preserve">問8（ケース判断・顧客メールへの返信案）</w:t>
      </w:r>
    </w:p>
    <w:tbl>
      <w:tblPr>
        <w:tblW w:type="dxa" w:w="9360"/>
        <w:tblBorders>
          <w:top w:val="single" w:color="B58A3A" w:sz="4"/>
          <w:left w:val="single" w:color="B58A3A" w:sz="18"/>
          <w:bottom w:val="single" w:color="B58A3A" w:sz="4"/>
          <w:right w:val="single" w:color="B58A3A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6EFE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設例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営業担当者が、顧客の氏名・会社名・メールアドレス・相談内容・契約状況を、社外の生成AIへそのまま入力して返信案を作ろうとしている。</w:t>
            </w:r>
          </w:p>
        </w:tc>
      </w:tr>
    </w:tbl>
    <w:p>
      <w:pPr>
        <w:spacing w:after="80" w:before="0" w:line="276"/>
      </w:pP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イ　個人情報・契約情報を外部AIへそのまま入れず、社内承認済み環境を使うか、固有情報を除いて一般的な質問にする。迷えば上長・法務・個人情報保護担当へ相談する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観点</w:t>
            </w:r>
          </w:p>
        </w:tc>
        <w:tc>
          <w:tcPr>
            <w:tcW w:type="dxa" w:w="67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関連するAI利用リスク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個人情報・契約情報・入力情報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どの問題か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入力情報・個人情報の問題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解説（なぜこの正解か）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個人情報・契約情報を外部AIにそのまま入力すべきではありません。氏名のみ削っても他の情報で特定され得るため『氏名を消せば安全』とはいえません。社内承認済み環境の利用、固有情報の除去、相談が適切です。漏えい時の報告等の詳細は第9話の領域です。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社内承認済み環境を使う／固有情報を除く／迷えば相談する。利用記録を残す。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根拠の区分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自社ルール／個人情報保護委員会の注意喚起の趣旨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スライド29・30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個人情報・顧客情報の入力ルール、承認済みツールの指定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問9（ケース判断・契約書全文を無料AIへ入力）</w:t>
      </w:r>
    </w:p>
    <w:tbl>
      <w:tblPr>
        <w:tblW w:type="dxa" w:w="9360"/>
        <w:tblBorders>
          <w:top w:val="single" w:color="B58A3A" w:sz="4"/>
          <w:left w:val="single" w:color="B58A3A" w:sz="18"/>
          <w:bottom w:val="single" w:color="B58A3A" w:sz="4"/>
          <w:right w:val="single" w:color="B58A3A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6EFE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設例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法務担当ではない社員が、未公表の案件名・取引条件・秘密保持条項を含む契約書の全文を、無料の生成AIへ貼り付けてレビューさせた。</w:t>
            </w:r>
          </w:p>
        </w:tc>
      </w:tr>
    </w:tbl>
    <w:p>
      <w:pPr>
        <w:spacing w:after="80" w:before="0" w:line="276"/>
      </w:pP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ウ　無料AI・個人アカウントへの契約書全文入力は、秘密情報・営業秘密の流出リスクがあり不適切。契約レビューはAI出力を鵜呑みにせず法務に相談し、記録を残す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観点</w:t>
            </w:r>
          </w:p>
        </w:tc>
        <w:tc>
          <w:tcPr>
            <w:tcW w:type="dxa" w:w="67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関連するAI利用リスク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機密情報・営業秘密・契約情報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どの問題か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入力情報・機密情報の問題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解説（なぜこの正解か）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無料AI・個人アカウントへの契約書全文の入力は、秘密情報・営業秘密の流出につながり得ます。契約レビューでAI出力を最終判断にせず、法務に相談し記録を残します。営業秘密の3要件等の詳細は第13話の領域です。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契約書全文を外部AIに入れない／法務に相談する／AI出力を鵜呑みにせず人が確認し記録する。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根拠の区分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自社ルール／不正競争防止法上の営業秘密管理の趣旨（詳細は第13話）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スライド29・31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契約書レビュー・法務相談ルール、機密情報の入力禁止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問10（ケース判断・AI生成画像を広告へ使用）</w:t>
      </w:r>
    </w:p>
    <w:tbl>
      <w:tblPr>
        <w:tblW w:type="dxa" w:w="9360"/>
        <w:tblBorders>
          <w:top w:val="single" w:color="B58A3A" w:sz="4"/>
          <w:left w:val="single" w:color="B58A3A" w:sz="18"/>
          <w:bottom w:val="single" w:color="B58A3A" w:sz="4"/>
          <w:right w:val="single" w:color="B58A3A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6EFE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設例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マーケティング担当者が、『有名アニメ風』『人気ブランド風』『実在タレントに似た雰囲気』と指定して作ったAI画像を、広告バナーに使おうとしている。</w:t>
            </w:r>
          </w:p>
        </w:tc>
      </w:tr>
    </w:tbl>
    <w:p>
      <w:pPr>
        <w:spacing w:after="80" w:before="0" w:line="276"/>
      </w:pP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エ　著作権・商標・肖像・パブリシティ・ブランド毀損等のリスクが高い。『○○風』指定は避け、社外利用前に法務・知財・広報の確認を取る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観点</w:t>
            </w:r>
          </w:p>
        </w:tc>
        <w:tc>
          <w:tcPr>
            <w:tcW w:type="dxa" w:w="67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関連するAI利用リスク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著作権・商標・肖像・パブリシティ・社外発信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どの問題か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著作権・社外発信の問題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解説（なぜこの正解か）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『有名作品風』『ブランド風』『実在人物風』の生成は、著作権・商標・肖像・パブリシティ・ブランド毀損等のリスクが高く、安全とはいえません。AI生成であることは権利確認を不要にしません。社外利用前に法務・知財・広報の確認が必要です。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『○○風』指定を避ける／社外利用前チェックと権利確認／法務・知財・広報の承認を取る。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根拠の区分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文化庁の考え方／自社ルール（広報・広告）／関連法令の趣旨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スライド18・19・20・23・27・32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著作権・知財管理ルール、広告・広報ルール、社外利用前チェック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問11（ケース判断・法令解説の社内展開）</w:t>
      </w:r>
    </w:p>
    <w:tbl>
      <w:tblPr>
        <w:tblW w:type="dxa" w:w="9360"/>
        <w:tblBorders>
          <w:top w:val="single" w:color="B58A3A" w:sz="4"/>
          <w:left w:val="single" w:color="B58A3A" w:sz="18"/>
          <w:bottom w:val="single" w:color="B58A3A" w:sz="4"/>
          <w:right w:val="single" w:color="B58A3A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6EFE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設例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総務担当者が、生成AIに『最新の労働法改正をまとめて』と聞き、出力を公式資料で確認せず、そのまま社内通知として配信しようとしている。</w:t>
            </w:r>
          </w:p>
        </w:tc>
      </w:tr>
    </w:tbl>
    <w:p>
      <w:pPr>
        <w:spacing w:after="80" w:before="0" w:line="276"/>
      </w:pP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イ　法令・改正・施行日は公式の一次資料で確認し、誤情報・古い情報・架空の出典がないかを人が確認してから配信する。必要に応じ法務確認を行う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観点</w:t>
            </w:r>
          </w:p>
        </w:tc>
        <w:tc>
          <w:tcPr>
            <w:tcW w:type="dxa" w:w="67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関連するAI利用リスク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誤情報・古い情報・架空出典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どの問題か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出力確認・誤情報の問題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解説（なぜこの正解か）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AIの法令解説には、古い情報・架空の法令・架空URLが含まれ得ます。施行日・改正内容は公式の一次資料で確認し、人が確認してから社内通知に使います。出典URLの存在だけでは正確性を担保できません。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公式の一次資料で確認する／人が確認してから配信する／必要に応じ法務確認。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根拠の区分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自社ルール（社内通知の確認・承認）／情報の正確性確保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スライド16・17・33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社内通知の確認・承認フロー、法務相談の基準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問12（ケース判断・AI生成マクロを実行）</w:t>
      </w:r>
    </w:p>
    <w:tbl>
      <w:tblPr>
        <w:tblW w:type="dxa" w:w="9360"/>
        <w:tblBorders>
          <w:top w:val="single" w:color="B58A3A" w:sz="4"/>
          <w:left w:val="single" w:color="B58A3A" w:sz="18"/>
          <w:bottom w:val="single" w:color="B58A3A" w:sz="4"/>
          <w:right w:val="single" w:color="B58A3A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6EFE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設例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社員が、生成AIに作らせた、外部サイトへ通信する処理を含むExcelマクロを、内容を確認せずに業務ファイルで実行しようとしている。</w:t>
            </w:r>
          </w:p>
        </w:tc>
      </w:tr>
    </w:tbl>
    <w:p>
      <w:pPr>
        <w:spacing w:after="80" w:before="0" w:line="276"/>
      </w:pP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正解：</w:t>
      </w: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ウ　コード・マクロ・リンクを無確認で実行しない。外部通信や不審な処理がないかを確認し、情報システムに相談してから扱う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観点</w:t>
            </w:r>
          </w:p>
        </w:tc>
        <w:tc>
          <w:tcPr>
            <w:tcW w:type="dxa" w:w="67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関連するAI利用リスク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セキュリティ・外部通信・コード確認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どの問題か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出力確認・高リスク利用の問題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解説（なぜこの正解か）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AI生成のコード・マクロ・リンク・ファイルを無確認で実行してはいけません。外部通信や不審な処理は情報漏えい・マルウェアにつながり得ます。内容を確認し、情報システムに相談してから扱います。一般的なセキュリティ対策は第10話の領域です。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現場で取るべき対応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無確認で実行しない／外部通信・不審処理を確認／情報システムに相談する。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根拠の区分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自社ルール（情報セキュリティ規程。詳細は第10話）</w:t>
            </w:r>
          </w:p>
        </w:tc>
      </w:tr>
      <w:tr>
        <w:tc>
          <w:tcPr>
            <w:tcW w:type="dxa" w:w="26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対応スライド</w:t>
            </w:r>
          </w:p>
        </w:tc>
        <w:tc>
          <w:tcPr>
            <w:tcW w:type="dxa" w:w="67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スライド21・34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自社規程で確認すべき事項</w:t>
            </w:r>
          </w:p>
        </w:tc>
        <w:tc>
          <w:tcPr>
            <w:tcW w:type="dxa" w:w="67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AI生成コード・マクロの取扱いルール、情報システムへの相談基準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配点表</w:t>
      </w:r>
    </w:p>
    <w:p>
      <w:pPr>
        <w:spacing w:after="120" w:before="0" w:line="276"/>
      </w:pPr>
      <w:r>
        <w:rPr>
          <w:rFonts w:ascii="Meiryo" w:cs="Meiryo" w:eastAsia="Meiryo" w:hAnsi="Meiryo"/>
        </w:rPr>
        <w:t xml:space="preserve">本テストは各問1点・12点満点です。100点満点に換算する場合は、下表を目安にしてください。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2200"/>
        <w:gridCol w:w="2200"/>
        <w:gridCol w:w="2680"/>
        <w:gridCol w:w="2280"/>
      </w:tblGrid>
      <w:tr>
        <w:trPr>
          <w:tblHeader/>
        </w:trPr>
        <w:tc>
          <w:tcPr>
            <w:tcW w:type="dxa" w:w="220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区分</w:t>
            </w:r>
          </w:p>
        </w:tc>
        <w:tc>
          <w:tcPr>
            <w:tcW w:type="dxa" w:w="220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問番号</w:t>
            </w:r>
          </w:p>
        </w:tc>
        <w:tc>
          <w:tcPr>
            <w:tcW w:type="dxa" w:w="268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配点（12点満点）</w:t>
            </w:r>
          </w:p>
        </w:tc>
        <w:tc>
          <w:tcPr>
            <w:tcW w:type="dxa" w:w="228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100点換算の目安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○×問題</w:t>
            </w:r>
          </w:p>
        </w:tc>
        <w:tc>
          <w:tcPr>
            <w:tcW w:type="dxa" w:w="22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問1〜問3</w:t>
            </w:r>
          </w:p>
        </w:tc>
        <w:tc>
          <w:tcPr>
            <w:tcW w:type="dxa" w:w="268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各1点（計3点）</w:t>
            </w:r>
          </w:p>
        </w:tc>
        <w:tc>
          <w:tcPr>
            <w:tcW w:type="dxa" w:w="228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各約8.3点（計25点）</w:t>
            </w:r>
          </w:p>
        </w:tc>
      </w:tr>
      <w:tr>
        <w:tc>
          <w:tcPr>
            <w:tcW w:type="dxa" w:w="22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四肢択一</w:t>
            </w:r>
          </w:p>
        </w:tc>
        <w:tc>
          <w:tcPr>
            <w:tcW w:type="dxa" w:w="22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問4〜問7</w:t>
            </w:r>
          </w:p>
        </w:tc>
        <w:tc>
          <w:tcPr>
            <w:tcW w:type="dxa" w:w="268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各1点（計4点）</w:t>
            </w:r>
          </w:p>
        </w:tc>
        <w:tc>
          <w:tcPr>
            <w:tcW w:type="dxa" w:w="228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各約8.3点（計33点）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ケース判断</w:t>
            </w:r>
          </w:p>
        </w:tc>
        <w:tc>
          <w:tcPr>
            <w:tcW w:type="dxa" w:w="22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問8〜問12</w:t>
            </w:r>
          </w:p>
        </w:tc>
        <w:tc>
          <w:tcPr>
            <w:tcW w:type="dxa" w:w="268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各1点（計5点）</w:t>
            </w:r>
          </w:p>
        </w:tc>
        <w:tc>
          <w:tcPr>
            <w:tcW w:type="dxa" w:w="228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各約8.3点（計42点）</w:t>
            </w:r>
          </w:p>
        </w:tc>
      </w:tr>
      <w:tr>
        <w:tc>
          <w:tcPr>
            <w:tcW w:type="dxa" w:w="22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b/>
                <w:bCs/>
                <w:color w:val="263238"/>
                <w:sz w:val="18"/>
                <w:szCs w:val="18"/>
              </w:rPr>
              <w:t xml:space="preserve">合計</w:t>
            </w:r>
          </w:p>
        </w:tc>
        <w:tc>
          <w:tcPr>
            <w:tcW w:type="dxa" w:w="22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b/>
                <w:bCs/>
                <w:color w:val="263238"/>
                <w:sz w:val="18"/>
                <w:szCs w:val="18"/>
              </w:rPr>
              <w:t xml:space="preserve">全12問</w:t>
            </w:r>
          </w:p>
        </w:tc>
        <w:tc>
          <w:tcPr>
            <w:tcW w:type="dxa" w:w="268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b/>
                <w:bCs/>
                <w:color w:val="263238"/>
                <w:sz w:val="18"/>
                <w:szCs w:val="18"/>
              </w:rPr>
              <w:t xml:space="preserve">12点</w:t>
            </w:r>
          </w:p>
        </w:tc>
        <w:tc>
          <w:tcPr>
            <w:tcW w:type="dxa" w:w="228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b/>
                <w:bCs/>
                <w:color w:val="263238"/>
                <w:sz w:val="18"/>
                <w:szCs w:val="18"/>
              </w:rPr>
              <w:t xml:space="preserve">100点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tbl>
      <w:tblPr>
        <w:tblW w:type="dxa" w:w="9360"/>
        <w:tblBorders>
          <w:top w:val="single" w:color="237A75" w:sz="4"/>
          <w:left w:val="single" w:color="237A75" w:sz="18"/>
          <w:bottom w:val="single" w:color="237A75" w:sz="4"/>
          <w:right w:val="single" w:color="237A75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E6F1F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1"/>
                <w:szCs w:val="21"/>
              </w:rPr>
              <w:t xml:space="preserve">採点・運用のヒント</w:t>
            </w:r>
          </w:p>
          <w:p>
            <w:pPr>
              <w:spacing w:after="5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ケース判断（問8〜12）は、選択肢だけでなく自由記述の理由づけも確認すると、理解度を把握しやすくなります。</w:t>
            </w:r>
          </w:p>
          <w:p>
            <w:pPr>
              <w:spacing w:after="5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誤答が多かった問の対応スライドを再確認し、次回研修や社内通知で補強してください。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本テスト・解説は自社の規程に合わせて補充してください。これだけでAIガバナンスが完成するわけではありません。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</w:rPr>
        <w:t xml:space="preserve"/>
      </w:r>
    </w:p>
    <w:p>
      <w:pPr>
        <w:pBdr>
          <w:bottom w:val="single" w:color="D4DCE4" w:sz="6" w:space="1"/>
        </w:pBdr>
        <w:spacing w:after="60"/>
      </w:pPr>
      <w:r>
        <w:rPr>
          <w:rFonts w:ascii="Meiryo" w:cs="Meiryo" w:eastAsia="Meiryo" w:hAnsi="Meiryo"/>
        </w:rPr>
        <w:t xml:space="preserve"/>
      </w:r>
    </w:p>
    <w:p>
      <w:pPr>
        <w:spacing w:after="0" w:before="0" w:line="276"/>
      </w:pPr>
      <w:r>
        <w:rPr>
          <w:rFonts w:ascii="Meiryo" w:cs="Meiryo" w:eastAsia="Meiryo" w:hAnsi="Meiryo"/>
          <w:color w:val="5B6B7A"/>
          <w:sz w:val="16"/>
          <w:szCs w:val="16"/>
        </w:rPr>
        <w:t xml:space="preserve">Legal GPT｜第11回 生成AI利用研修　解答・解説集。根拠の区分（法令／ガイドライン／自社ルール）を確認のうえご利用ください。基準日：2026年6月18日。</w:t>
      </w:r>
    </w:p>
    <w:sectPr>
      <w:footerReference w:type="default" r:id="rId7"/>
      <w:pgSz w:w="12240" w:h="15840" w:orient="portrait"/>
      <w:pgMar w:top="1440" w:right="1440" w:bottom="126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4DCE4" w:sz="4" w:space="6"/>
      </w:pBdr>
      <w:tabs>
        <w:tab w:val="right" w:pos="9360"/>
      </w:tabs>
    </w:pPr>
    <w:r>
      <w:rPr>
        <w:rFonts w:ascii="Meiryo" w:cs="Meiryo" w:eastAsia="Meiryo" w:hAnsi="Meiryo"/>
        <w:color w:val="5B6B7A"/>
        <w:sz w:val="15"/>
        <w:szCs w:val="15"/>
      </w:rPr>
      <w:t xml:space="preserve">Legal GPT ｜ 第11回 生成AI利用研修　解答・解説集</w:t>
    </w:r>
    <w:r>
      <w:rPr>
        <w:rFonts w:ascii="Meiryo" w:cs="Meiryo" w:eastAsia="Meiryo" w:hAnsi="Meiryo"/>
        <w:color w:val="5B6B7A"/>
        <w:sz w:val="15"/>
        <w:szCs w:val="15"/>
      </w:rPr>
      <w:t xml:space="preserve">	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90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60"/>
      </w:pPr>
      <w:rPr>
        <w:b/>
        <w:bCs/>
        <w:color w:val="16314F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B58A3A" w:sz="12" w:space="6"/>
      </w:pBdr>
      <w:spacing w:after="160" w:before="3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60"/>
      <w:outlineLvl w:val="1"/>
    </w:pPr>
    <w:rPr>
      <w:rFonts w:ascii="Meiryo" w:cs="Meiryo" w:eastAsia="Meiryo" w:hAnsi="Meiryo"/>
      <w:b/>
      <w:bCs/>
      <w:color w:val="16314F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90" w:before="180"/>
      <w:outlineLvl w:val="2"/>
    </w:pPr>
    <w:rPr>
      <w:rFonts w:ascii="Meiryo" w:cs="Meiryo" w:eastAsia="Meiryo" w:hAnsi="Meiryo"/>
      <w:b/>
      <w:bCs/>
      <w:color w:val="243B5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2026-06-21T12:58:30.257Z</dcterms:created>
  <dcterms:modified xsi:type="dcterms:W3CDTF">2026-06-21T12:58:30.257Z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