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0"/>
      </w:pPr>
      <w:r>
        <w:rPr>
          <w:rFonts w:ascii="Meiryo" w:cs="Meiryo" w:eastAsia="Meiryo" w:hAnsi="Meiryo"/>
          <w:b/>
          <w:bCs/>
          <w:color w:val="B58A3A"/>
          <w:sz w:val="20"/>
          <w:szCs w:val="20"/>
        </w:rPr>
        <w:t xml:space="preserve">法務・総務のための社内研修資料20選　第11回</w:t>
      </w:r>
    </w:p>
    <w:p>
      <w:pPr>
        <w:pBdr>
          <w:bottom w:val="single" w:color="16314F" w:sz="16" w:space="8"/>
        </w:pBdr>
        <w:spacing w:after="80"/>
      </w:pPr>
      <w:r>
        <w:rPr>
          <w:rFonts w:ascii="Meiryo" w:cs="Meiryo" w:eastAsia="Meiryo" w:hAnsi="Meiryo"/>
          <w:b/>
          <w:bCs/>
          <w:color w:val="16314F"/>
          <w:sz w:val="40"/>
          <w:szCs w:val="40"/>
        </w:rPr>
        <w:t xml:space="preserve">生成AI利用 ケースワークブック</w:t>
      </w:r>
    </w:p>
    <w:p>
      <w:pPr>
        <w:spacing w:after="200"/>
      </w:pPr>
      <w:r>
        <w:rPr>
          <w:rFonts w:ascii="Meiryo" w:cs="Meiryo" w:eastAsia="Meiryo" w:hAnsi="Meiryo"/>
          <w:color w:val="5B6B7A"/>
          <w:sz w:val="22"/>
          <w:szCs w:val="22"/>
        </w:rPr>
        <w:t xml:space="preserve">8つの場面で「入力してよいか・どう確認するか・誰に相談するか」を考える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2400"/>
        <w:gridCol w:w="6960"/>
      </w:tblGrid>
      <w:tr>
        <w:trPr>
          <w:tblHeader/>
        </w:trPr>
        <w:tc>
          <w:tcPr>
            <w:tcW w:type="dxa" w:w="240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項目</w:t>
            </w:r>
          </w:p>
        </w:tc>
        <w:tc>
          <w:tcPr>
            <w:tcW w:type="dxa" w:w="69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対象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全社員・管理職（グループ討議・個人ワーク用）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使い方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各ケースの記入欄を埋め、グループで討議。講師解説と照合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位置づけ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シリーズ第11回　生成AI利用研修のワークブック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法令・制度基準日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2026年6月18日</w:t>
            </w:r>
          </w:p>
        </w:tc>
      </w:tr>
      <w:tr>
        <w:tc>
          <w:tcPr>
            <w:tcW w:type="dxa" w:w="24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所要</w:t>
            </w:r>
          </w:p>
        </w:tc>
        <w:tc>
          <w:tcPr>
            <w:tcW w:type="dxa" w:w="69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1ケース10〜15分（討議含む）</w:t>
            </w:r>
          </w:p>
        </w:tc>
      </w:tr>
      <w:tr>
        <w:tc>
          <w:tcPr>
            <w:tcW w:type="dxa" w:w="24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版／改訂日</w:t>
            </w:r>
          </w:p>
        </w:tc>
        <w:tc>
          <w:tcPr>
            <w:tcW w:type="dxa" w:w="69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9"/>
                <w:szCs w:val="19"/>
              </w:rPr>
              <w:t xml:space="preserve">【要自社記入：版・改訂日】</w:t>
            </w:r>
          </w:p>
        </w:tc>
      </w:tr>
    </w:tbl>
    <w:p>
      <w:pPr>
        <w:spacing w:after="160"/>
      </w:pPr>
      <w:r>
        <w:rPr>
          <w:rFonts w:ascii="Meiryo" w:cs="Meiryo" w:eastAsia="Meiryo" w:hAnsi="Meiryo"/>
        </w:rPr>
        <w:t xml:space="preserve"/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本資料の位置づけ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登場する人物・会社・案件はすべて架空です。各ケースに唯一の正解があるとは限りません。自社の承認済みツール・規程・相談窓口に置き換えて検討してください。法的・技術的な評価を断定せず、『迷ったら止めて相談』を原則に考えます。</w:t>
            </w:r>
          </w:p>
        </w:tc>
      </w:tr>
    </w:tbl>
    <w:p>
      <w:pPr>
        <w:pStyle w:val="Heading1"/>
        <w:spacing w:after="160"/>
      </w:pPr>
      <w:r>
        <w:rPr>
          <w:rFonts w:ascii="Meiryo" w:cs="Meiryo" w:eastAsia="Meiryo" w:hAnsi="Meiryo"/>
        </w:rPr>
        <w:t xml:space="preserve">ケース1　顧客情報をそのまま外部AIへ入力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営業担当者が、顧客からの問い合わせメールへの返信案を作るため、顧客の氏名・会社名・メールアドレス・相談内容・契約状況を、社外の生成AIへそのまま入力しようとしている。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個人情報／契約情報／機密情報／外部AIへの入力／匿名化・マスキング・要約／社内承認済みAIか／（個人情報の詳細は第9話）／相談先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対応スライド29・30、解答・解説集ケース1を参照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ケース2　契約書全文を無料AIへ入力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法務担当ではない社員が、取引先との秘密保持契約案をレビューするため、無料の生成AIサービスへ契約書全文を貼り付けた。契約書には取引条件・未公表の案件名・秘密保持条項が含まれている。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契約情報／秘密情報／営業秘密の可能性／無料AI・個人アカウント／契約レビューにAI出力を使う限界／法務確認／利用記録／（営業秘密の3要件等は第13話）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対応スライド29・31、解答・解説集ケース2を参照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ケース3　AI生成画像を広告へ使用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マーケティング担当者が、AIで生成した人物画像とキャッチコピーを広告バナーに使おうとしている。プロンプトでは「有名アニメ風」「人気ブランド風」「実在タレントに似た雰囲気」と指定していた。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著作権／商標・ブランド／肖像・パブリシティ／既存作品風のリスク／広告表現（景表法等）／法務・知財・広報確認／社外利用前チェック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対応スライド18・19・20・23・28・32、解答・解説集ケース3を参照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ケース4　AI出力の法令解説をそのまま社内展開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総務担当者が、生成AIに「最新の労働法改正をまとめて」と聞き、出力された内容を公式資料で確認せず、そのまま社内通知として配信しようとしている。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誤情報／古い情報／架空法令・架空URL／公式資料での確認／人による確認／法務確認／社内通知の責任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対応スライド16・17・33、解答・解説集ケース4を参照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ケース5　AI生成コード・マクロを実行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社員が、生成AIにExcelマクロを作らせ、内容を確認せずに業務ファイルで実行しようとしている。マクロは外部サイトへ通信する処理を含んでいた。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セキュリティ／コード確認／外部通信／マルウェア・情報送信／情報システム確認／無確認実行の禁止／（一般的なセキュリティは第10話）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対応スライド21・34、解答・解説集ケース5を参照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ケース6　採用評価にAI出力を利用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採用担当者が、応募者の履歴書を生成AIへ入力し、「採用すべきか」「性格に問題がないか」を評価させ、その結果を面接官へ共有しようとしている。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個人情報／採用判断／偏り・差別／要配慮情報の推測／人事判断／AIを最終判断にしない／人事・法務確認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対応スライド10・22・23、解答・解説集ケース6を参照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ケース7　AI議事録に社内会議を録音入力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会議参加者が、未公表の新規事業・顧客名・価格方針・役員発言を含む会議音声を、社外のAI議事録サービスへアップロードしようとしている。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音声データ／会議情報／未公表情報／機密情報・営業秘密／社内承認済みサービスか／参加者への説明／保存・学習・第三者提供／利用記録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対応スライド11・12・13・24、解答・解説集ケース7を参照</w:t>
      </w:r>
    </w:p>
    <w:p>
      <w:pPr>
        <w:pStyle w:val="Heading1"/>
        <w:pageBreakBefore/>
        <w:spacing w:after="160"/>
      </w:pPr>
      <w:r>
        <w:rPr>
          <w:rFonts w:ascii="Meiryo" w:cs="Meiryo" w:eastAsia="Meiryo" w:hAnsi="Meiryo"/>
        </w:rPr>
        <w:t xml:space="preserve">ケース8　AI出力を顧客回答にそのまま使用</w:t>
      </w:r>
    </w:p>
    <w:tbl>
      <w:tblPr>
        <w:tblW w:type="dxa" w:w="9360"/>
        <w:tblBorders>
          <w:top w:val="single" w:color="B58A3A" w:sz="4"/>
          <w:left w:val="single" w:color="B58A3A" w:sz="18"/>
          <w:bottom w:val="single" w:color="B58A3A" w:sz="4"/>
          <w:right w:val="single" w:color="B58A3A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6EFE0" w:val="clear"/>
            <w:tcMar>
              <w:top w:type="dxa" w:w="120"/>
              <w:left w:type="dxa" w:w="20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シナリオ</w:t>
            </w:r>
          </w:p>
          <w:p>
            <w:pPr>
              <w:spacing w:after="0" w:line="264"/>
            </w:pPr>
            <w:r>
              <w:rPr>
                <w:rFonts w:ascii="Meiryo" w:cs="Meiryo" w:eastAsia="Meiryo" w:hAnsi="Meiryo"/>
                <w:sz w:val="20"/>
                <w:szCs w:val="20"/>
              </w:rPr>
              <w:t xml:space="preserve">カスタマーサポート担当者が、難しい苦情への回答案を生成AIで作成し、事実確認や社内基準の確認をせず、そのまま顧客へ送信しようとしている。</w:t>
            </w:r>
          </w:p>
        </w:tc>
      </w:tr>
    </w:tbl>
    <w:p>
      <w:pPr>
        <w:spacing w:after="100" w:before="0" w:line="276"/>
      </w:pPr>
      <w:r>
        <w:rPr>
          <w:rFonts w:ascii="Meiryo" w:cs="Meiryo" w:eastAsia="Meiryo" w:hAnsi="Meiryo"/>
          <w:b/>
          <w:bCs/>
          <w:color w:val="243B53"/>
          <w:sz w:val="19"/>
          <w:szCs w:val="19"/>
        </w:rPr>
        <w:t xml:space="preserve">主な論点（ヒント）：</w:t>
      </w:r>
      <w:r>
        <w:rPr>
          <w:rFonts w:ascii="Meiryo" w:cs="Meiryo" w:eastAsia="Meiryo" w:hAnsi="Meiryo"/>
          <w:sz w:val="19"/>
          <w:szCs w:val="19"/>
        </w:rPr>
        <w:t xml:space="preserve">顧客対応／誤情報／過剰な約束／差別的・不適切表現／社内基準・FAQ・約款確認／上長確認／（顧客対応は第7話、個人情報は第9話）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検討項目</w:t>
            </w:r>
          </w:p>
        </w:tc>
        <w:tc>
          <w:tcPr>
            <w:tcW w:type="dxa" w:w="636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記入欄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利用目的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使用した（想定）AI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入力情報に含まれるリスク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出力結果に含まれるリスク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個人情報・機密情報・営業秘密・著作権・誤情報・差別的表現との関係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利用してよい／承認が必要／利用不可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☐ 利用してよい　　☐ 承認が必要　　☐ 利用不可　　（理由：）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入力前に加工すべき情報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出力後に確認すべき項目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相談先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利用記録（残すべき項目）</w:t>
            </w:r>
          </w:p>
        </w:tc>
        <w:tc>
          <w:tcPr>
            <w:tcW w:type="dxa" w:w="6360"/>
            <w:shd w:fill="F6F8FA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56"/>
            </w:pPr>
            <w:r>
              <w:rPr>
                <w:rFonts w:ascii="Meiryo" w:cs="Meiryo" w:eastAsia="Meiryo" w:hAnsi="Meiryo"/>
                <w:color w:val="263238"/>
                <w:sz w:val="18"/>
                <w:szCs w:val="18"/>
              </w:rPr>
              <w:t xml:space="preserve">再発防止・ルール化のアイデア</w:t>
            </w:r>
          </w:p>
        </w:tc>
        <w:tc>
          <w:tcPr>
            <w:tcW w:type="dxa" w:w="6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80"/>
      </w:pPr>
      <w:r>
        <w:rPr>
          <w:rFonts w:ascii="Meiryo" w:cs="Meiryo" w:eastAsia="Meiryo" w:hAnsi="Meiryo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グループ討議メモ</w:t>
      </w:r>
    </w:p>
    <w:tbl>
      <w:tblPr>
        <w:tblW w:type="dxa" w:w="9360"/>
        <w:tblBorders>
          <w:top w:val="single" w:color="D4DCE4" w:sz="2"/>
          <w:left w:val="single" w:color="D4DCE4" w:sz="2"/>
          <w:bottom w:val="single" w:color="D4DCE4" w:sz="2"/>
          <w:right w:val="single" w:color="D4DCE4" w:sz="2"/>
          <w:insideH w:val="single" w:color="D4DCE4" w:sz="2"/>
          <w:insideV w:val="single" w:color="D4DCE4" w:sz="2"/>
        </w:tblBorders>
      </w:tblPr>
      <w:tblGrid>
        <w:gridCol w:w="9360"/>
      </w:tblGrid>
      <w:tr>
        <w:trPr>
          <w:tblHeader/>
        </w:trPr>
        <w:tc>
          <w:tcPr>
            <w:tcW w:type="dxa" w:w="9360"/>
            <w:shd w:fill="243B5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メモ</w:t>
            </w:r>
          </w:p>
        </w:tc>
      </w:tr>
      <w:tr>
        <w:tc>
          <w:tcPr>
            <w:tcW w:type="dxa" w:w="9360"/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  <w:p>
            <w:pPr>
              <w:spacing w:after="0" w:line="260"/>
            </w:pPr>
            <w:r>
              <w:rPr>
                <w:rFonts w:ascii="Meiryo" w:cs="Meiryo" w:eastAsia="Meiryo" w:hAnsi="Meiryo"/>
              </w:rPr>
              <w:t xml:space="preserve"> </w:t>
            </w:r>
          </w:p>
        </w:tc>
      </w:tr>
    </w:tbl>
    <w:p>
      <w:pPr>
        <w:spacing w:after="0" w:before="80" w:line="276"/>
      </w:pPr>
      <w:r>
        <w:rPr>
          <w:rFonts w:ascii="Meiryo" w:cs="Meiryo" w:eastAsia="Meiryo" w:hAnsi="Meiryo"/>
          <w:b/>
          <w:bCs/>
          <w:color w:val="237A75"/>
          <w:sz w:val="18"/>
          <w:szCs w:val="18"/>
        </w:rPr>
        <w:t xml:space="preserve">講師解説参照欄：</w:t>
      </w:r>
      <w:r>
        <w:rPr>
          <w:rFonts w:ascii="Meiryo" w:cs="Meiryo" w:eastAsia="Meiryo" w:hAnsi="Meiryo"/>
          <w:color w:val="5B6B7A"/>
          <w:sz w:val="18"/>
          <w:szCs w:val="18"/>
        </w:rPr>
        <w:t xml:space="preserve">対応スライド16・23・27・29、解答・解説集ケース8を参照</w:t>
      </w:r>
    </w:p>
    <w:sectPr>
      <w:footerReference w:type="default" r:id="rId7"/>
      <w:pgSz w:w="12240" w:h="15840" w:orient="portrait"/>
      <w:pgMar w:top="1440" w:right="1440" w:bottom="126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4DCE4" w:sz="4" w:space="6"/>
      </w:pBdr>
      <w:tabs>
        <w:tab w:val="right" w:pos="9360"/>
      </w:tabs>
    </w:pPr>
    <w:r>
      <w:rPr>
        <w:rFonts w:ascii="Meiryo" w:cs="Meiryo" w:eastAsia="Meiryo" w:hAnsi="Meiryo"/>
        <w:color w:val="5B6B7A"/>
        <w:sz w:val="15"/>
        <w:szCs w:val="15"/>
      </w:rPr>
      <w:t xml:space="preserve">Legal GPT ｜ 第11回 生成AI利用研修　ケースワークブック</w:t>
    </w:r>
    <w:r>
      <w:rPr>
        <w:rFonts w:ascii="Meiryo" w:cs="Meiryo" w:eastAsia="Meiryo" w:hAnsi="Meiryo"/>
        <w:color w:val="5B6B7A"/>
        <w:sz w:val="15"/>
        <w:szCs w:val="15"/>
      </w:rPr>
      <w:t xml:space="preserve">	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–"/>
      <w:lvlJc w:val="left"/>
      <w:pPr>
        <w:ind w:left="90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60"/>
      </w:pPr>
      <w:rPr>
        <w:b/>
        <w:bCs/>
        <w:color w:val="1631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B58A3A" w:sz="12" w:space="6"/>
      </w:pBdr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9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2026-06-21T13:29:01.148Z</dcterms:created>
  <dcterms:modified xsi:type="dcterms:W3CDTF">2026-06-21T13:29:01.148Z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