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00"/>
      </w:pPr>
      <w:r>
        <w:rPr>
          <w:rFonts w:ascii="Meiryo" w:cs="Meiryo" w:eastAsia="Meiryo" w:hAnsi="Meiryo"/>
          <w:b/>
          <w:bCs/>
          <w:color w:val="B58A3A"/>
          <w:sz w:val="20"/>
          <w:szCs w:val="20"/>
        </w:rPr>
        <w:t xml:space="preserve">法務・総務のための社内研修資料20選</w:t>
      </w:r>
    </w:p>
    <w:p>
      <w:pPr>
        <w:spacing w:after="40"/>
      </w:pPr>
      <w:r>
        <w:rPr>
          <w:rFonts w:ascii="Meiryo" w:cs="Meiryo" w:eastAsia="Meiryo" w:hAnsi="Meiryo"/>
          <w:color w:val="5B6770"/>
          <w:sz w:val="19"/>
          <w:szCs w:val="19"/>
        </w:rPr>
        <w:t xml:space="preserve">第13回　営業秘密・機密情報管理研修</w:t>
      </w:r>
    </w:p>
    <w:p>
      <w:pPr>
        <w:pBdr>
          <w:bottom w:val="single" w:color="E7D9B4" w:sz="18" w:space="10"/>
        </w:pBdr>
        <w:spacing w:after="80" w:before="240"/>
      </w:pPr>
      <w:r>
        <w:rPr>
          <w:rFonts w:ascii="Meiryo" w:cs="Meiryo" w:eastAsia="Meiryo" w:hAnsi="Meiryo"/>
          <w:b/>
          <w:bCs/>
          <w:color w:val="237A75"/>
          <w:sz w:val="22"/>
          <w:szCs w:val="22"/>
        </w:rPr>
        <w:t xml:space="preserve">実務チェックリスト</w:t>
      </w:r>
    </w:p>
    <w:p>
      <w:pPr>
        <w:spacing w:after="60" w:before="160"/>
      </w:pPr>
      <w:r>
        <w:rPr>
          <w:rFonts w:ascii="Meiryo" w:cs="Meiryo" w:eastAsia="Meiryo" w:hAnsi="Meiryo"/>
          <w:b/>
          <w:bCs/>
          <w:color w:val="16314F"/>
          <w:sz w:val="40"/>
          <w:szCs w:val="40"/>
        </w:rPr>
        <w:t xml:space="preserve">営業秘密・機密情報 取扱いチェックリスト</w:t>
      </w:r>
    </w:p>
    <w:p>
      <w:pPr>
        <w:spacing w:after="260"/>
      </w:pPr>
      <w:r>
        <w:rPr>
          <w:rFonts w:ascii="Meiryo" w:cs="Meiryo" w:eastAsia="Meiryo" w:hAnsi="Meiryo"/>
          <w:color w:val="243B53"/>
          <w:sz w:val="23"/>
          <w:szCs w:val="23"/>
        </w:rPr>
        <w:t xml:space="preserve">情報分類／共有・持出し前／クラウド・AI／退職・転職／前職情報</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600"/>
        <w:gridCol w:w="6426"/>
      </w:tblGrid>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対象</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全社員・管理職</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構成</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第1部〜第5部（場面別）</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関連研修</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第13回　営業秘密・機密情報管理研修</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法令・制度基準日</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2026年6月18日</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注意</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自社ルールに合わせて補充・修正のうえ利用</w:t>
            </w:r>
          </w:p>
        </w:tc>
      </w:tr>
    </w:tbl>
    <w:p>
      <w:pPr>
        <w:spacing w:before="240"/>
      </w:pPr>
      <w:r>
        <w:rPr>
          <w:rFonts w:ascii="Meiryo" w:cs="Meiryo" w:eastAsia="Meiryo" w:hAnsi="Meiryo"/>
          <w:i/>
          <w:iCs/>
          <w:color w:val="5B6770"/>
          <w:sz w:val="16"/>
          <w:szCs w:val="16"/>
        </w:rPr>
        <w:t xml:space="preserve">本資料は一般的な情報提供であり、特定の事案に関する法的助言ではありません。実際の運用は自社の規程・契約・最新の法令及び専門家への確認に基づいて判断してください。</w:t>
      </w:r>
    </w:p>
    <w:p>
      <w:r>
        <w:br w:type="page"/>
      </w:r>
    </w:p>
    <w:p>
      <w:pPr>
        <w:spacing w:after="100" w:line="288"/>
      </w:pPr>
      <w:r>
        <w:rPr>
          <w:rFonts w:ascii="Meiryo" w:cs="Meiryo" w:eastAsia="Meiryo" w:hAnsi="Meiryo"/>
          <w:b w:val="false"/>
          <w:bCs w:val="false"/>
          <w:i w:val="false"/>
          <w:iCs w:val="false"/>
          <w:color w:val="263238"/>
          <w:sz w:val="20"/>
          <w:szCs w:val="20"/>
        </w:rPr>
        <w:t xml:space="preserve">このチェックリストは、営業秘密・機密情報を扱うときの確認用です。すべての項目に当てはまらない場合や、判断に迷う場合は、持ち出さず・共有せず・入力せず、上長・法務・情報システム等に相談してください。これは法的・技術的な自動判定表ではありません。最終的な営業秘密該当性や法的責任の判断は現場で行わないでください。</w:t>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使い方</w:t>
            </w:r>
          </w:p>
          <w:p>
            <w:pPr>
              <w:spacing w:after="50" w:line="270"/>
            </w:pPr>
            <w:r>
              <w:rPr>
                <w:rFonts w:ascii="Meiryo" w:cs="Meiryo" w:eastAsia="Meiryo" w:hAnsi="Meiryo"/>
                <w:color w:val="263238"/>
                <w:sz w:val="20"/>
                <w:szCs w:val="20"/>
              </w:rPr>
              <w:t xml:space="preserve">第1部〜第5部は場面別です。該当する部分を使ってください。</w:t>
            </w:r>
          </w:p>
          <w:p>
            <w:pPr>
              <w:spacing w:after="50" w:line="270"/>
            </w:pPr>
            <w:r>
              <w:rPr>
                <w:rFonts w:ascii="Meiryo" w:cs="Meiryo" w:eastAsia="Meiryo" w:hAnsi="Meiryo"/>
                <w:color w:val="263238"/>
                <w:sz w:val="20"/>
                <w:szCs w:val="20"/>
              </w:rPr>
              <w:t xml:space="preserve">□はチェック欄です。印刷して使うほか、画面上でも利用できます。</w:t>
            </w:r>
          </w:p>
          <w:p>
            <w:pPr>
              <w:spacing w:after="0" w:line="270"/>
            </w:pPr>
            <w:r>
              <w:rPr>
                <w:rFonts w:ascii="Meiryo" w:cs="Meiryo" w:eastAsia="Meiryo" w:hAnsi="Meiryo"/>
                <w:color w:val="263238"/>
                <w:sz w:val="20"/>
                <w:szCs w:val="20"/>
              </w:rPr>
              <w:t xml:space="preserve">1つでも「いいえ／不明」がある場合は、実行前に相談してください。</w:t>
            </w:r>
          </w:p>
        </w:tc>
      </w:tr>
    </w:tbl>
    <w:p>
      <w:pPr>
        <w:pStyle w:val="Heading1"/>
        <w:keepNext/>
        <w:pBdr>
          <w:bottom w:val="single" w:color="E7D9B4" w:sz="10" w:space="6"/>
        </w:pBdr>
        <w:spacing w:after="140" w:before="280"/>
      </w:pPr>
      <w:r>
        <w:rPr>
          <w:rFonts w:ascii="Meiryo" w:cs="Meiryo" w:eastAsia="Meiryo" w:hAnsi="Meiryo"/>
          <w:b/>
          <w:bCs/>
          <w:color w:val="16314F"/>
        </w:rPr>
        <w:t xml:space="preserve">第1部　情報分類チェック</w:t>
      </w:r>
    </w:p>
    <w:p>
      <w:pPr>
        <w:spacing w:after="100" w:line="288"/>
      </w:pPr>
      <w:r>
        <w:rPr>
          <w:rFonts w:ascii="Meiryo" w:cs="Meiryo" w:eastAsia="Meiryo" w:hAnsi="Meiryo"/>
          <w:b w:val="false"/>
          <w:bCs w:val="false"/>
          <w:i w:val="false"/>
          <w:iCs w:val="false"/>
          <w:color w:val="5B6770"/>
          <w:sz w:val="20"/>
          <w:szCs w:val="20"/>
        </w:rPr>
        <w:t xml:space="preserve">その情報が秘密情報かどうかを確認します。</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520"/>
        <w:gridCol w:w="8506"/>
      </w:tblGrid>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「社外秘」「関係者限り」「秘密」「極秘」「Confidential」等の表示があるか確認した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アクセス制限（閲覧・編集・ダウンロード権限）が設定されているか確認した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顧客リスト・価格・見積・契約条件・技術資料・図面・ソースコード・事業計画・未公表情報のいずれかに当たらないか確認した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取引先又は委託先から秘密として受領した情報ではないか確認した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NDA・契約・誓約書・社内規程で秘密扱いとされていないか確認した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個人情報が含まれていないか確認した（含む場合は個人情報のルールも確認）</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営業秘密かどうか判断に迷う場合の相談先を確認した</w:t>
            </w:r>
          </w:p>
        </w:tc>
      </w:tr>
    </w:tbl>
    <w:tbl>
      <w:tblPr>
        <w:tblW w:type="dxa" w:w="9026"/>
        <w:tblBorders>
          <w:top w:val="single" w:color="F5EEDF" w:sz="2"/>
          <w:left w:val="single" w:color="B58A3A" w:sz="24"/>
          <w:bottom w:val="single" w:color="F5EEDF" w:sz="2"/>
          <w:right w:val="single" w:color="F5EEDF" w:sz="2"/>
          <w:insideH w:val="single" w:color="auto" w:sz="4"/>
          <w:insideV w:val="single" w:color="auto" w:sz="4"/>
        </w:tblBorders>
      </w:tblPr>
      <w:tblGrid>
        <w:gridCol w:w="9026"/>
      </w:tblGrid>
      <w:tr>
        <w:tc>
          <w:tcPr>
            <w:tcW w:type="dxa" w:w="9026"/>
            <w:shd w:fill="F5EEDF" w:val="clear"/>
            <w:tcMar>
              <w:top w:type="dxa" w:w="110"/>
              <w:left w:type="dxa" w:w="200"/>
              <w:bottom w:type="dxa" w:w="110"/>
              <w:right w:type="dxa" w:w="160"/>
            </w:tcMar>
          </w:tcPr>
          <w:p>
            <w:pPr>
              <w:spacing w:after="60"/>
            </w:pPr>
            <w:r>
              <w:rPr>
                <w:rFonts w:ascii="Meiryo" w:cs="Meiryo" w:eastAsia="Meiryo" w:hAnsi="Meiryo"/>
                <w:b/>
                <w:bCs/>
                <w:color w:val="B58A3A"/>
                <w:sz w:val="21"/>
                <w:szCs w:val="21"/>
              </w:rPr>
              <w:t xml:space="preserve">迷ったら</w:t>
            </w:r>
          </w:p>
          <w:p>
            <w:pPr>
              <w:spacing w:after="0" w:line="270"/>
            </w:pPr>
            <w:r>
              <w:rPr>
                <w:rFonts w:ascii="Meiryo" w:cs="Meiryo" w:eastAsia="Meiryo" w:hAnsi="Meiryo"/>
                <w:color w:val="263238"/>
                <w:sz w:val="20"/>
                <w:szCs w:val="20"/>
              </w:rPr>
              <w:t xml:space="preserve">秘密表示・制限・指定のいずれかがあれば、まず秘密情報として扱う。判断は現場で確定せず相談する。</w:t>
            </w:r>
          </w:p>
        </w:tc>
      </w:tr>
    </w:tbl>
    <w:p>
      <w:pPr>
        <w:pStyle w:val="Heading1"/>
        <w:keepNext/>
        <w:pBdr>
          <w:bottom w:val="single" w:color="E7D9B4" w:sz="10" w:space="6"/>
        </w:pBdr>
        <w:spacing w:after="140" w:before="280"/>
      </w:pPr>
      <w:r>
        <w:rPr>
          <w:rFonts w:ascii="Meiryo" w:cs="Meiryo" w:eastAsia="Meiryo" w:hAnsi="Meiryo"/>
          <w:b/>
          <w:bCs/>
          <w:color w:val="16314F"/>
        </w:rPr>
        <w:t xml:space="preserve">第2部　共有・持出し前チェック</w:t>
      </w:r>
    </w:p>
    <w:p>
      <w:pPr>
        <w:spacing w:after="100" w:line="288"/>
      </w:pPr>
      <w:r>
        <w:rPr>
          <w:rFonts w:ascii="Meiryo" w:cs="Meiryo" w:eastAsia="Meiryo" w:hAnsi="Meiryo"/>
          <w:b w:val="false"/>
          <w:bCs w:val="false"/>
          <w:i w:val="false"/>
          <w:iCs w:val="false"/>
          <w:color w:val="5B6770"/>
          <w:sz w:val="20"/>
          <w:szCs w:val="20"/>
        </w:rPr>
        <w:t xml:space="preserve">情報を共有・持ち出す前に確認します。</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520"/>
        <w:gridCol w:w="8506"/>
      </w:tblGrid>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共有相手は業務上必要な人か確認した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共有範囲は必要最小限か確認した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閲覧・編集・ダウンロード・再共有の権限を確認した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社外共有について必要な承認を得た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メール添付ではなく、承認済みの共有方法を使っている</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私用メールや個人チャットへ送っていない</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USBやローカル保存が自社ルールで許されているか確認した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持ち出す必要性・期間・返却（削除）方法を確認した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共有後のアクセス解除期限を設定した</w:t>
            </w:r>
          </w:p>
        </w:tc>
      </w:tr>
    </w:tbl>
    <w:p>
      <w:pPr>
        <w:pStyle w:val="Heading1"/>
        <w:keepNext/>
        <w:pBdr>
          <w:bottom w:val="single" w:color="E7D9B4" w:sz="10" w:space="6"/>
        </w:pBdr>
        <w:spacing w:after="140" w:before="280"/>
      </w:pPr>
      <w:r>
        <w:rPr>
          <w:rFonts w:ascii="Meiryo" w:cs="Meiryo" w:eastAsia="Meiryo" w:hAnsi="Meiryo"/>
          <w:b/>
          <w:bCs/>
          <w:color w:val="16314F"/>
        </w:rPr>
        <w:t xml:space="preserve">第3部　クラウド・チャット・AI利用前チェック</w:t>
      </w:r>
    </w:p>
    <w:p>
      <w:pPr>
        <w:spacing w:after="100" w:line="288"/>
      </w:pPr>
      <w:r>
        <w:rPr>
          <w:rFonts w:ascii="Meiryo" w:cs="Meiryo" w:eastAsia="Meiryo" w:hAnsi="Meiryo"/>
          <w:b w:val="false"/>
          <w:bCs w:val="false"/>
          <w:i w:val="false"/>
          <w:iCs w:val="false"/>
          <w:color w:val="5B6770"/>
          <w:sz w:val="20"/>
          <w:szCs w:val="20"/>
        </w:rPr>
        <w:t xml:space="preserve">クラウド・チャット・オンライン会議・生成AIを使う前に確認します。</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520"/>
        <w:gridCol w:w="8506"/>
      </w:tblGrid>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承認済みのクラウド・チャット・ファイル共有ツールか確認した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公開リンク・リンクを知る全員・社外全員など過大な権限になっていないか確認した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チャットルームに社外メンバーや不要なメンバーがいないか確認した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オンライン会議で画面共有する資料に秘密情報が含まれていないか確認した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録画・文字起こし・議事録ツールに秘密情報を入れてよいか確認した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生成AI・翻訳AI・要約AI・議事録AIへ秘密情報を入力していない</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匿名化・マスキング・要約・ダミー化で足りるか検討した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AIや外部サービスへの入力は第11回及び自社AI利用ルールに従っている</w:t>
            </w:r>
          </w:p>
        </w:tc>
      </w:tr>
    </w:tbl>
    <w:tbl>
      <w:tblPr>
        <w:tblW w:type="dxa" w:w="9026"/>
        <w:tblBorders>
          <w:top w:val="single" w:color="FBEAE8" w:sz="2"/>
          <w:left w:val="single" w:color="B42318" w:sz="24"/>
          <w:bottom w:val="single" w:color="FBEAE8" w:sz="2"/>
          <w:right w:val="single" w:color="FBEAE8" w:sz="2"/>
          <w:insideH w:val="single" w:color="auto" w:sz="4"/>
          <w:insideV w:val="single" w:color="auto" w:sz="4"/>
        </w:tblBorders>
      </w:tblPr>
      <w:tblGrid>
        <w:gridCol w:w="9026"/>
      </w:tblGrid>
      <w:tr>
        <w:tc>
          <w:tcPr>
            <w:tcW w:type="dxa" w:w="9026"/>
            <w:shd w:fill="FBEAE8" w:val="clear"/>
            <w:tcMar>
              <w:top w:type="dxa" w:w="110"/>
              <w:left w:type="dxa" w:w="200"/>
              <w:bottom w:type="dxa" w:w="110"/>
              <w:right w:type="dxa" w:w="160"/>
            </w:tcMar>
          </w:tcPr>
          <w:p>
            <w:pPr>
              <w:spacing w:after="60"/>
            </w:pPr>
            <w:r>
              <w:rPr>
                <w:rFonts w:ascii="Meiryo" w:cs="Meiryo" w:eastAsia="Meiryo" w:hAnsi="Meiryo"/>
                <w:b/>
                <w:bCs/>
                <w:color w:val="B42318"/>
                <w:sz w:val="21"/>
                <w:szCs w:val="21"/>
              </w:rPr>
              <w:t xml:space="preserve">注意</w:t>
            </w:r>
          </w:p>
          <w:p>
            <w:pPr>
              <w:spacing w:after="0" w:line="270"/>
            </w:pPr>
            <w:r>
              <w:rPr>
                <w:rFonts w:ascii="Meiryo" w:cs="Meiryo" w:eastAsia="Meiryo" w:hAnsi="Meiryo"/>
                <w:color w:val="263238"/>
                <w:sz w:val="20"/>
                <w:szCs w:val="20"/>
              </w:rPr>
              <w:t xml:space="preserve">外部AI・外部サービスへの入力は「持出し・第三者提供」になり得ます。未承認サービスや、規約・データ取扱いが不明なサービスには秘密情報を入れないでください。</w:t>
            </w:r>
          </w:p>
        </w:tc>
      </w:tr>
    </w:tbl>
    <w:p>
      <w:pPr>
        <w:pStyle w:val="Heading1"/>
        <w:keepNext/>
        <w:pBdr>
          <w:bottom w:val="single" w:color="E7D9B4" w:sz="10" w:space="6"/>
        </w:pBdr>
        <w:spacing w:after="140" w:before="280"/>
      </w:pPr>
      <w:r>
        <w:rPr>
          <w:rFonts w:ascii="Meiryo" w:cs="Meiryo" w:eastAsia="Meiryo" w:hAnsi="Meiryo"/>
          <w:b/>
          <w:bCs/>
          <w:color w:val="16314F"/>
        </w:rPr>
        <w:t xml:space="preserve">第4部　退職・転職・異動時チェック</w:t>
      </w:r>
    </w:p>
    <w:p>
      <w:pPr>
        <w:spacing w:after="100" w:line="288"/>
      </w:pPr>
      <w:r>
        <w:rPr>
          <w:rFonts w:ascii="Meiryo" w:cs="Meiryo" w:eastAsia="Meiryo" w:hAnsi="Meiryo"/>
          <w:b w:val="false"/>
          <w:bCs w:val="false"/>
          <w:i w:val="false"/>
          <w:iCs w:val="false"/>
          <w:color w:val="5B6770"/>
          <w:sz w:val="20"/>
          <w:szCs w:val="20"/>
        </w:rPr>
        <w:t xml:space="preserve">退職・転職・異動・出向・委託終了のときに確認します。</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520"/>
        <w:gridCol w:w="8506"/>
      </w:tblGrid>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業務資料・顧客リスト・価格表・技術資料・ノート・名刺・USBを返却した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ローカル端末・個人端末・私用クラウド・個人メールに会社情報を保存していない</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クラウド共有・チャット・プロジェクト管理ツール・Git・開発環境・CRMの権限を解除した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業務で取得した情報を退職後に利用しないことを確認した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退職後の競業・転職・独立で利用してはいけない情報を理解した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秘密保持誓約書・退職時誓約書・自社規程を確認した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会社情報の削除・返却を証跡として残した</w:t>
            </w:r>
          </w:p>
        </w:tc>
      </w:tr>
    </w:tbl>
    <w:p>
      <w:pPr>
        <w:pStyle w:val="Heading1"/>
        <w:keepNext/>
        <w:pBdr>
          <w:bottom w:val="single" w:color="E7D9B4" w:sz="10" w:space="6"/>
        </w:pBdr>
        <w:spacing w:after="140" w:before="280"/>
      </w:pPr>
      <w:r>
        <w:rPr>
          <w:rFonts w:ascii="Meiryo" w:cs="Meiryo" w:eastAsia="Meiryo" w:hAnsi="Meiryo"/>
          <w:b/>
          <w:bCs/>
          <w:color w:val="16314F"/>
        </w:rPr>
        <w:t xml:space="preserve">第5部　前職・他社情報持ち込み防止チェック</w:t>
      </w:r>
    </w:p>
    <w:p>
      <w:pPr>
        <w:spacing w:after="100" w:line="288"/>
      </w:pPr>
      <w:r>
        <w:rPr>
          <w:rFonts w:ascii="Meiryo" w:cs="Meiryo" w:eastAsia="Meiryo" w:hAnsi="Meiryo"/>
          <w:b w:val="false"/>
          <w:bCs w:val="false"/>
          <w:i w:val="false"/>
          <w:iCs w:val="false"/>
          <w:color w:val="5B6770"/>
          <w:sz w:val="20"/>
          <w:szCs w:val="20"/>
        </w:rPr>
        <w:t xml:space="preserve">中途入社・転籍・出向などで、前職や他社の情報を持ち込まないために確認します。</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520"/>
        <w:gridCol w:w="8506"/>
      </w:tblGrid>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前職の顧客リスト・価格表・提案書・技術資料・ソースコード・マニュアルを持ち込んでいない</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前職の資料を参考にして作業していない</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前職の秘密情報を記憶ベースで利用しようとしていない</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他社の秘密情報が混ざっている可能性がある場合、上長・法務へ相談した</w:t>
            </w:r>
          </w:p>
        </w:tc>
      </w:tr>
      <w:tr>
        <w:tc>
          <w:tcPr>
            <w:tcW w:type="dxa" w:w="520"/>
            <w:tcBorders>
              <w:top w:val="single" w:color="D7DEE5" w:sz="4"/>
              <w:left w:val="single" w:color="D7DEE5" w:sz="4"/>
              <w:bottom w:val="single" w:color="D7DEE5" w:sz="4"/>
              <w:right w:val="single" w:color="D7DEE5" w:sz="4"/>
            </w:tcBorders>
            <w:tcMar>
              <w:top w:type="dxa" w:w="70"/>
              <w:left w:type="dxa" w:w="80"/>
              <w:bottom w:type="dxa" w:w="70"/>
              <w:right w:type="dxa" w:w="40"/>
            </w:tcMar>
            <w:vAlign w:val="top"/>
          </w:tcPr>
          <w:p>
            <w:pPr>
              <w:jc w:val="center"/>
            </w:pPr>
            <w:r>
              <w:rPr>
                <w:rFonts w:ascii="Meiryo" w:cs="Meiryo" w:eastAsia="Meiryo" w:hAnsi="Meiryo"/>
                <w:color w:val="16314F"/>
                <w:sz w:val="22"/>
                <w:szCs w:val="22"/>
              </w:rPr>
              <w:t xml:space="preserve">□</w:t>
            </w:r>
          </w:p>
        </w:tc>
        <w:tc>
          <w:tcPr>
            <w:tcW w:type="dxa" w:w="8506"/>
            <w:tcBorders>
              <w:top w:val="single" w:color="D7DEE5" w:sz="4"/>
              <w:left w:val="single" w:color="D7DEE5" w:sz="4"/>
              <w:bottom w:val="single" w:color="D7DEE5" w:sz="4"/>
              <w:right w:val="single" w:color="D7DEE5" w:sz="4"/>
            </w:tcBorders>
            <w:tcMar>
              <w:top w:type="dxa" w:w="70"/>
              <w:left w:type="dxa" w:w="130"/>
              <w:bottom w:type="dxa" w:w="70"/>
              <w:right w:type="dxa" w:w="130"/>
            </w:tcMar>
            <w:vAlign w:val="top"/>
          </w:tcPr>
          <w:p>
            <w:pPr>
              <w:spacing w:line="264"/>
            </w:pPr>
            <w:r>
              <w:rPr>
                <w:rFonts w:ascii="Meiryo" w:cs="Meiryo" w:eastAsia="Meiryo" w:hAnsi="Meiryo"/>
                <w:color w:val="263238"/>
                <w:sz w:val="20"/>
                <w:szCs w:val="20"/>
              </w:rPr>
              <w:t xml:space="preserve">採用・転職・出向・業務提携時に、他社情報の取扱いルールの説明を受けた／行った</w:t>
            </w:r>
          </w:p>
        </w:tc>
      </w:tr>
    </w:tbl>
    <w:tbl>
      <w:tblPr>
        <w:tblW w:type="dxa" w:w="9026"/>
        <w:tblBorders>
          <w:top w:val="single" w:color="E9F1EC" w:sz="2"/>
          <w:left w:val="single" w:color="2F6B4F" w:sz="24"/>
          <w:bottom w:val="single" w:color="E9F1EC" w:sz="2"/>
          <w:right w:val="single" w:color="E9F1EC" w:sz="2"/>
          <w:insideH w:val="single" w:color="auto" w:sz="4"/>
          <w:insideV w:val="single" w:color="auto" w:sz="4"/>
        </w:tblBorders>
      </w:tblPr>
      <w:tblGrid>
        <w:gridCol w:w="9026"/>
      </w:tblGrid>
      <w:tr>
        <w:tc>
          <w:tcPr>
            <w:tcW w:type="dxa" w:w="9026"/>
            <w:shd w:fill="E9F1EC" w:val="clear"/>
            <w:tcMar>
              <w:top w:type="dxa" w:w="110"/>
              <w:left w:type="dxa" w:w="200"/>
              <w:bottom w:type="dxa" w:w="110"/>
              <w:right w:type="dxa" w:w="160"/>
            </w:tcMar>
          </w:tcPr>
          <w:p>
            <w:pPr>
              <w:spacing w:after="60"/>
            </w:pPr>
            <w:r>
              <w:rPr>
                <w:rFonts w:ascii="Meiryo" w:cs="Meiryo" w:eastAsia="Meiryo" w:hAnsi="Meiryo"/>
                <w:b/>
                <w:bCs/>
                <w:color w:val="2F6B4F"/>
                <w:sz w:val="21"/>
                <w:szCs w:val="21"/>
              </w:rPr>
              <w:t xml:space="preserve">前職・他社情報について</w:t>
            </w:r>
          </w:p>
          <w:p>
            <w:pPr>
              <w:spacing w:after="0" w:line="270"/>
            </w:pPr>
            <w:r>
              <w:rPr>
                <w:rFonts w:ascii="Meiryo" w:cs="Meiryo" w:eastAsia="Meiryo" w:hAnsi="Meiryo"/>
                <w:color w:val="263238"/>
                <w:sz w:val="20"/>
                <w:szCs w:val="20"/>
              </w:rPr>
              <w:t xml:space="preserve">前職資料は持ち込まず、自社資料・公開情報からゼロで作成してください。「記憶しているから」「参考にするだけ」も問題になり得ます。</w:t>
            </w:r>
          </w:p>
        </w:tc>
      </w:tr>
    </w:tbl>
    <w:p>
      <w:pPr>
        <w:spacing w:after="60"/>
      </w:pPr>
      <w:r>
        <w:t xml:space="preserve"/>
      </w:r>
    </w:p>
    <w:p>
      <w:pPr>
        <w:pStyle w:val="Heading1"/>
        <w:keepNext/>
        <w:pBdr>
          <w:bottom w:val="single" w:color="E7D9B4" w:sz="10" w:space="6"/>
        </w:pBdr>
        <w:spacing w:after="140" w:before="280"/>
      </w:pPr>
      <w:r>
        <w:rPr>
          <w:rFonts w:ascii="Meiryo" w:cs="Meiryo" w:eastAsia="Meiryo" w:hAnsi="Meiryo"/>
          <w:b/>
          <w:bCs/>
          <w:color w:val="16314F"/>
        </w:rPr>
        <w:t xml:space="preserve">相談先・確認欄</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3400"/>
        <w:gridCol w:w="5626"/>
      </w:tblGrid>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確認者（氏名）</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5B6770"/>
                <w:sz w:val="20"/>
                <w:szCs w:val="20"/>
              </w:rPr>
              <w:t xml:space="preserve"/>
            </w:r>
          </w:p>
        </w:tc>
      </w:tr>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所属</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5B6770"/>
                <w:sz w:val="20"/>
                <w:szCs w:val="20"/>
              </w:rPr>
              <w:t xml:space="preserve"/>
            </w:r>
          </w:p>
        </w:tc>
      </w:tr>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確認日</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5B6770"/>
                <w:sz w:val="20"/>
                <w:szCs w:val="20"/>
              </w:rPr>
              <w:t xml:space="preserve"/>
            </w:r>
          </w:p>
        </w:tc>
      </w:tr>
      <w:tr>
        <w:tc>
          <w:tcPr>
            <w:tcW w:type="dxa" w:w="34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営業秘密・機密情報に関する相談窓口</w:t>
            </w:r>
          </w:p>
        </w:tc>
        <w:tc>
          <w:tcPr>
            <w:tcW w:type="dxa" w:w="56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263238"/>
                <w:sz w:val="20"/>
                <w:szCs w:val="20"/>
              </w:rPr>
              <w:t xml:space="preserve">【要自社記入】</w:t>
            </w:r>
          </w:p>
          <w:p>
            <w:r>
              <w:t xml:space="preserve"/>
            </w:r>
          </w:p>
        </w:tc>
      </w:tr>
    </w:tbl>
    <w:p>
      <w:pPr>
        <w:spacing w:after="60"/>
      </w:pPr>
      <w:r>
        <w:t xml:space="preserve"/>
      </w:r>
    </w:p>
    <w:tbl>
      <w:tblPr>
        <w:tblW w:type="dxa" w:w="9026"/>
        <w:tblBorders>
          <w:top w:val="single" w:color="EEF1F5" w:sz="2"/>
          <w:left w:val="single" w:color="5B6770" w:sz="24"/>
          <w:bottom w:val="single" w:color="EEF1F5" w:sz="2"/>
          <w:right w:val="single" w:color="EEF1F5" w:sz="2"/>
          <w:insideH w:val="single" w:color="auto" w:sz="4"/>
          <w:insideV w:val="single" w:color="auto" w:sz="4"/>
        </w:tblBorders>
      </w:tblPr>
      <w:tblGrid>
        <w:gridCol w:w="9026"/>
      </w:tblGrid>
      <w:tr>
        <w:tc>
          <w:tcPr>
            <w:tcW w:type="dxa" w:w="9026"/>
            <w:shd w:fill="EEF1F5" w:val="clear"/>
            <w:tcMar>
              <w:top w:type="dxa" w:w="110"/>
              <w:left w:type="dxa" w:w="200"/>
              <w:bottom w:type="dxa" w:w="110"/>
              <w:right w:type="dxa" w:w="160"/>
            </w:tcMar>
          </w:tcPr>
          <w:p>
            <w:pPr>
              <w:spacing w:after="60"/>
            </w:pPr>
            <w:r>
              <w:rPr>
                <w:rFonts w:ascii="Meiryo" w:cs="Meiryo" w:eastAsia="Meiryo" w:hAnsi="Meiryo"/>
                <w:b/>
                <w:bCs/>
                <w:color w:val="5B6770"/>
                <w:sz w:val="21"/>
                <w:szCs w:val="21"/>
              </w:rPr>
              <w:t xml:space="preserve">注意事項</w:t>
            </w:r>
          </w:p>
          <w:p>
            <w:pPr>
              <w:spacing w:after="50" w:line="270"/>
            </w:pPr>
            <w:r>
              <w:rPr>
                <w:rFonts w:ascii="Meiryo" w:cs="Meiryo" w:eastAsia="Meiryo" w:hAnsi="Meiryo"/>
                <w:color w:val="263238"/>
                <w:sz w:val="20"/>
                <w:szCs w:val="20"/>
              </w:rPr>
              <w:t xml:space="preserve">本チェックリストは一般的な確認補助であり、特定の事案の結論を保証するものではありません。</w:t>
            </w:r>
          </w:p>
          <w:p>
            <w:pPr>
              <w:spacing w:after="50" w:line="270"/>
            </w:pPr>
            <w:r>
              <w:rPr>
                <w:rFonts w:ascii="Meiryo" w:cs="Meiryo" w:eastAsia="Meiryo" w:hAnsi="Meiryo"/>
                <w:color w:val="263238"/>
                <w:sz w:val="20"/>
                <w:szCs w:val="20"/>
              </w:rPr>
              <w:t xml:space="preserve">自社の営業秘密管理規程・情報セキュリティ規程・AI利用ルール・クラウド利用ルール・退職時手続等に合わせて、項目を補充・修正してご利用ください。</w:t>
            </w:r>
          </w:p>
          <w:p>
            <w:pPr>
              <w:spacing w:after="0" w:line="270"/>
            </w:pPr>
            <w:r>
              <w:rPr>
                <w:rFonts w:ascii="Meiryo" w:cs="Meiryo" w:eastAsia="Meiryo" w:hAnsi="Meiryo"/>
                <w:color w:val="263238"/>
                <w:sz w:val="20"/>
                <w:szCs w:val="20"/>
              </w:rPr>
              <w:t xml:space="preserve">法令・制度基準日：2026年6月18日</w:t>
            </w:r>
          </w:p>
        </w:tc>
      </w:tr>
    </w:tbl>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5" w:sz="4" w:space="6"/>
      </w:pBdr>
      <w:tabs>
        <w:tab w:val="right" w:pos="9026"/>
      </w:tabs>
    </w:pPr>
    <w:r>
      <w:rPr>
        <w:rFonts w:ascii="Meiryo" w:cs="Meiryo" w:eastAsia="Meiryo" w:hAnsi="Meiryo"/>
        <w:color w:val="5B6770"/>
        <w:sz w:val="16"/>
        <w:szCs w:val="16"/>
      </w:rPr>
      <w:t xml:space="preserve">Legal GPT｜営業秘密・機密情報 取扱いチェックリスト　第13回</w:t>
    </w:r>
    <w:r>
      <w:rPr>
        <w:rFonts w:ascii="Meiryo" w:cs="Meiryo" w:eastAsia="Meiryo" w:hAnsi="Meiryo"/>
      </w:rPr>
      <w:t xml:space="preserve">	</w:t>
    </w:r>
    <w:r>
      <w:rPr>
        <w:rFonts w:ascii="Meiryo" w:cs="Meiryo" w:eastAsia="Meiryo" w:hAnsi="Meiryo"/>
        <w:color w:val="5B6770"/>
        <w:sz w:val="16"/>
        <w:szCs w:val="16"/>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237A75"/>
      </w:rPr>
    </w:lvl>
    <w:lvl w:ilvl="1" w15:tentative="1">
      <w:start w:val="1"/>
      <w:numFmt w:val="bullet"/>
      <w:lvlText w:val="–"/>
      <w:lvlJc w:val="left"/>
      <w:pPr>
        <w:ind w:left="920" w:hanging="260"/>
      </w:pPr>
      <w:rPr>
        <w:color w:val="5B6770"/>
      </w:rPr>
    </w:lvl>
  </w:abstractNum>
  <w:abstractNum w:abstractNumId="3" w15:restartNumberingAfterBreak="0">
    <w:multiLevelType w:val="hybridMultilevel"/>
    <w:lvl w:ilvl="0" w15:tentative="1">
      <w:start w:val="1"/>
      <w:numFmt w:val="decimal"/>
      <w:lvlText w:val="%1."/>
      <w:lvlJc w:val="left"/>
      <w:pPr>
        <w:ind w:left="480" w:hanging="300"/>
      </w:pPr>
      <w:rPr>
        <w:b/>
        <w:bCs/>
        <w:color w:val="16314F"/>
      </w:rPr>
    </w:lvl>
  </w:abstractNum>
  <w:abstractNum w:abstractNumId="4" w15:restartNumberingAfterBreak="0">
    <w:multiLevelType w:val="hybridMultilevel"/>
    <w:lvl w:ilvl="0" w15:tentative="1">
      <w:start w:val="1"/>
      <w:numFmt w:val="decimal"/>
      <w:lvlText w:val="STEP %1"/>
      <w:lvlJc w:val="left"/>
      <w:pPr>
        <w:ind w:left="900" w:hanging="7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243B53"/>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営業秘密・機密情報 取扱いチェックリスト</dc:title>
  <dc:creator>Legal GPT</dc:creator>
  <cp:lastModifiedBy>Un-named</cp:lastModifiedBy>
  <cp:revision>1</cp:revision>
  <dcterms:created xsi:type="dcterms:W3CDTF">2026-06-22T05:33:45.674Z</dcterms:created>
  <dcterms:modified xsi:type="dcterms:W3CDTF">2026-06-22T05:33:45.674Z</dcterms:modified>
</cp:coreProperties>
</file>

<file path=docProps/custom.xml><?xml version="1.0" encoding="utf-8"?>
<Properties xmlns="http://schemas.openxmlformats.org/officeDocument/2006/custom-properties" xmlns:vt="http://schemas.openxmlformats.org/officeDocument/2006/docPropsVTypes"/>
</file>