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150" w:hRule="exact"/>
        </w:trPr>
        <w:tc>
          <w:tcPr>
            <w:tcW w:type="dxa" w:w="9638"/>
            <w:tcBorders>
              <w:top w:val="none" w:color="FFFFFF" w:sz="0"/>
              <w:left w:val="none" w:color="FFFFFF" w:sz="0"/>
              <w:bottom w:val="none" w:color="FFFFFF" w:sz="0"/>
              <w:right w:val="none" w:color="FFFFFF" w:sz="0"/>
            </w:tcBorders>
            <w:shd w:fill="B58A3A" w:color="auto" w:val="clear"/>
            <w:tcMar>
              <w:top w:type="dxa" w:w="0"/>
              <w:left w:type="dxa" w:w="0"/>
              <w:bottom w:type="dxa" w:w="0"/>
              <w:right w:type="dxa" w:w="0"/>
            </w:tcMar>
          </w:tcPr>
          <w:p>
            <w:pPr>
              <w:spacing w:after="0" w:before="0"/>
            </w:pPr>
            <w:r>
              <w:rPr>
                <w:rFonts w:ascii="Meiryo" w:cs="Meiryo" w:eastAsia="Meiryo" w:hAnsi="Meiryo"/>
                <w:sz w:val="2"/>
                <w:szCs w:val="2"/>
              </w:rPr>
              <w:t xml:space="preserve"/>
            </w:r>
          </w:p>
        </w:tc>
      </w:tr>
      <w:tr>
        <w:tc>
          <w:tcPr>
            <w:tcW w:type="dxa" w:w="9638"/>
            <w:tcBorders>
              <w:top w:val="none" w:color="FFFFFF" w:sz="0"/>
              <w:left w:val="none" w:color="FFFFFF" w:sz="0"/>
              <w:bottom w:val="none" w:color="FFFFFF" w:sz="0"/>
              <w:right w:val="none" w:color="FFFFFF" w:sz="0"/>
            </w:tcBorders>
            <w:shd w:fill="16314F" w:color="auto" w:val="clear"/>
            <w:tcMar>
              <w:top w:type="dxa" w:w="300"/>
              <w:left w:type="dxa" w:w="340"/>
              <w:bottom w:type="dxa" w:w="320"/>
              <w:right w:type="dxa" w:w="340"/>
            </w:tcMar>
          </w:tcPr>
          <w:p>
            <w:pPr>
              <w:spacing w:after="120"/>
            </w:pPr>
            <w:r>
              <w:rPr>
                <w:rFonts w:ascii="Meiryo" w:cs="Meiryo" w:eastAsia="Meiryo" w:hAnsi="Meiryo"/>
                <w:b/>
                <w:bCs/>
                <w:color w:val="B58A3A"/>
                <w:sz w:val="19"/>
                <w:szCs w:val="19"/>
              </w:rPr>
              <w:t xml:space="preserve">法務・総務のための社内研修資料20選</w:t>
            </w:r>
          </w:p>
          <w:p>
            <w:pPr>
              <w:spacing w:after="70"/>
            </w:pPr>
            <w:r>
              <w:rPr>
                <w:rFonts w:ascii="Meiryo" w:cs="Meiryo" w:eastAsia="Meiryo" w:hAnsi="Meiryo"/>
                <w:b/>
                <w:bCs/>
                <w:color w:val="16314F"/>
                <w:sz w:val="20"/>
                <w:szCs w:val="20"/>
                <w:shd w:fill="B58A3A" w:color="auto" w:val="clear"/>
              </w:rPr>
              <w:t xml:space="preserve">　第14回　</w:t>
            </w:r>
          </w:p>
          <w:p>
            <w:pPr>
              <w:spacing w:after="90"/>
            </w:pPr>
            <w:r>
              <w:rPr>
                <w:rFonts w:ascii="Meiryo" w:cs="Meiryo" w:eastAsia="Meiryo" w:hAnsi="Meiryo"/>
                <w:b/>
                <w:bCs/>
                <w:color w:val="FFFFFF"/>
                <w:sz w:val="40"/>
                <w:szCs w:val="40"/>
              </w:rPr>
              <w:t xml:space="preserve">接待・贈答・贈収賄防止 ケースワークブック</w:t>
            </w:r>
          </w:p>
          <w:p>
            <w:pPr>
              <w:spacing w:after="0"/>
            </w:pPr>
            <w:r>
              <w:rPr>
                <w:rFonts w:ascii="Meiryo" w:cs="Meiryo" w:eastAsia="Meiryo" w:hAnsi="Meiryo"/>
                <w:color w:val="E7D6AE"/>
                <w:sz w:val="22"/>
                <w:szCs w:val="22"/>
              </w:rPr>
              <w:t xml:space="preserve">8ケースで学ぶ 受ける・渡す・断る・記録・相談の判断</w:t>
            </w:r>
          </w:p>
        </w:tc>
      </w:tr>
    </w:tbl>
    <w:p>
      <w:pPr>
        <w:spacing w:after="120"/>
      </w:pPr>
      <w:r>
        <w:rPr>
          <w:rFonts w:ascii="Meiryo" w:cs="Meiryo" w:eastAsia="Meiryo" w:hAnsi="Meiryo"/>
          <w:sz w:val="8"/>
          <w:szCs w:val="8"/>
        </w:rPr>
        <w:t xml:space="preserve"/>
      </w:r>
    </w:p>
    <w:p>
      <w:pPr>
        <w:spacing w:after="120" w:before="120"/>
      </w:pPr>
      <w:r>
        <w:rPr>
          <w:rFonts w:ascii="Meiryo" w:cs="Meiryo" w:eastAsia="Meiryo" w:hAnsi="Meiryo"/>
          <w:b/>
          <w:bCs/>
          <w:color w:val="B58A3A"/>
          <w:sz w:val="22"/>
          <w:szCs w:val="22"/>
        </w:rPr>
        <w:t xml:space="preserve">本資料：</w:t>
      </w:r>
      <w:r>
        <w:rPr>
          <w:rFonts w:ascii="Meiryo" w:cs="Meiryo" w:eastAsia="Meiryo" w:hAnsi="Meiryo"/>
          <w:b/>
          <w:bCs/>
          <w:color w:val="16314F"/>
          <w:sz w:val="24"/>
          <w:szCs w:val="24"/>
        </w:rPr>
        <w:t xml:space="preserve">ケースワークブック（全8ケース・討議記入式）</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000"/>
        <w:gridCol w:w="6638"/>
      </w:tblGrid>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資料区分</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研修用ケース教材（グループ討議・記入式）</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対象</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全社員・管理職・営業・購買・調達・海外事業・官公庁対応</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進め方</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各ケースを読み、視点整理→討議→講師解説の順で検討</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シリーズ</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第14回 接待・贈答・贈収賄防止研修</w:t>
            </w:r>
          </w:p>
        </w:tc>
      </w:tr>
    </w:tbl>
    <w:p>
      <w:pPr>
        <w:spacing w:after="140"/>
      </w:pPr>
      <w:r>
        <w:rPr>
          <w:rFonts w:ascii="Meiryo" w:cs="Meiryo" w:eastAsia="Meiryo" w:hAnsi="Meiryo"/>
          <w:sz w:val="8"/>
          <w:szCs w:val="8"/>
        </w:rPr>
        <w:t xml:space="preserve"/>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ご注意　</w:t>
      </w:r>
      <w:r>
        <w:rPr>
          <w:rFonts w:ascii="Meiryo" w:cs="Meiryo" w:eastAsia="Meiryo" w:hAnsi="Meiryo"/>
          <w:color w:val="222A30"/>
          <w:sz w:val="20"/>
          <w:szCs w:val="20"/>
        </w:rPr>
        <w:t xml:space="preserve">本資料は、自社規程・運用に合わせた追記・修正を前提とした研修用ひな形です。接待・贈答の可否、贈収賄該当性、利益相反、会計・税務処理の最終判断は、必ず自社の法務・コンプライアンス・経理等の所管部門にご確認ください。</w:t>
      </w:r>
    </w:p>
    <w:p>
      <w:pPr>
        <w:spacing w:before="40"/>
      </w:pPr>
      <w:r>
        <w:rPr>
          <w:rFonts w:ascii="Meiryo" w:cs="Meiryo" w:eastAsia="Meiryo" w:hAnsi="Meiryo"/>
          <w:color w:val="5B6B79"/>
          <w:sz w:val="19"/>
          <w:szCs w:val="19"/>
        </w:rPr>
        <w:t xml:space="preserve">法令・制度基準日：2026年6月18日</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ワークブックの使い方</w:t>
      </w:r>
    </w:p>
    <w:p>
      <w:pPr>
        <w:spacing w:after="90" w:line="276"/>
      </w:pPr>
      <w:r>
        <w:rPr>
          <w:rFonts w:ascii="Meiryo" w:cs="Meiryo" w:eastAsia="Meiryo" w:hAnsi="Meiryo"/>
          <w:b w:val="false"/>
          <w:bCs w:val="false"/>
          <w:i w:val="false"/>
          <w:iCs w:val="false"/>
          <w:color w:val="222A30"/>
          <w:sz w:val="21"/>
          <w:szCs w:val="21"/>
        </w:rPr>
        <w:t xml:space="preserve">各ケースには「結論」を一つに決めることよりも、</w:t>
      </w:r>
      <w:r>
        <w:rPr>
          <w:rFonts w:ascii="Meiryo" w:cs="Meiryo" w:eastAsia="Meiryo" w:hAnsi="Meiryo"/>
          <w:b/>
          <w:bCs/>
          <w:i w:val="false"/>
          <w:iCs w:val="false"/>
          <w:color w:val="16314F"/>
          <w:sz w:val="21"/>
          <w:szCs w:val="21"/>
        </w:rPr>
        <w:t xml:space="preserve">どの点に着目し、誰に相談し、何を記録すべきか</w:t>
      </w:r>
      <w:r>
        <w:rPr>
          <w:rFonts w:ascii="Meiryo" w:cs="Meiryo" w:eastAsia="Meiryo" w:hAnsi="Meiryo"/>
          <w:b w:val="false"/>
          <w:bCs w:val="false"/>
          <w:i w:val="false"/>
          <w:iCs w:val="false"/>
          <w:color w:val="222A30"/>
          <w:sz w:val="21"/>
          <w:szCs w:val="21"/>
        </w:rPr>
        <w:t xml:space="preserve">を考えることに意味があります。グループ討議では、受ける側・渡す側の双方の立場、相手方の属性、タイミング、記録可能性を意識してください。</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討議の前提　</w:t>
      </w:r>
      <w:r>
        <w:rPr>
          <w:rFonts w:ascii="Meiryo" w:cs="Meiryo" w:eastAsia="Meiryo" w:hAnsi="Meiryo"/>
          <w:color w:val="222A30"/>
          <w:sz w:val="20"/>
          <w:szCs w:val="20"/>
        </w:rPr>
        <w:t xml:space="preserve">接待・贈答は一律禁止ではありません。一方で、相手・金額・タイミング・目的・頻度・見返り・記録可能性によって大きなリスクになります。各ケースの「現場が独断してはいけないこと」を必ず確認し、贈収賄該当性・利益相反・会計／税務の最終判断は所管部門に委ね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本ワークブックの「視点」「必要な行動」欄は討議を助けるための例示であり、自社規程・個別事情により結論は変わり得ます。自社のケースに置き換えて活用してください。</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ケース1　取引先からの高額接待</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営業担当者が、契約更新直前の取引先から高級レストランでの会食に招待された。相手は「いつもお世話になっているだけです」と言っているが、現在は契約条件の見直し交渉中である。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受ける側か／渡す側か：受ける側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民間取引先（契約交渉中の相手方）</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利益相反・取引判断の公正性・社内規程／相手方規程・レピュテーション</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金額・頻度・タイミング（契約更新直前）・目的・第三者からの疑念</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契約条件の見直し交渉中という、判断に影響し得るタイミングである。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「お世話になっているだけ」という説明でも、第三者から見れば交渉との関係を疑われ得る。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高級レストランでの会食は、金額・頻度によっては社交儀礼の範囲を超え得る。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自社規程の金額基準・承認基準・記録基準を確認する必要がある。</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受ける前に立ち止まり、上長・法務・コンプライアンスへ相談する。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交渉時期を避ける、参加人数・金額を抑える、割り勘にする等の代替を会社として検討する。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受ける場合も、相手・日時・場所・金額・目的・同席者を記録する。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「断ると関係が悪くなる」と考え、独断で受ける。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記録を残さずに会食する。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経費承認が通ったことをもって、コンプライアンス上も問題ないと判断する。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招待メール、店舗・金額の情報、申請・承認記録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上長／法務・コンプライアンス</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接待を受けてよいかの最終判断、交渉への影響の有無の自己判断</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契約交渉時期の接待ルールの明確化、申請フローの徹底</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3〜6、21〜25、28（確認テスト・解答解説もあわせて参照）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ケース2　公務員への手土産・会食</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官公庁との打合せ後、担当社員が「軽い手土産と昼食くらいなら問題ない」と考え、公務員に手土産を持参し、会食に誘おうとしている。案件は許認可申請中である。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国内公務員（利害関係者・許認可申請中）</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刑法上の贈収賄・国家公務員倫理法／倫理規程・相手方の服務規律</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相手方属性（公務員）・許認可申請中・手土産／会食・少額でも問題になり得る点</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相手は公務員であり、許認可申請中の利害関係者に当たり得る。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国家公務員倫理規程では、利害関係者からの贈与・供応接待が原則として制限されている。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自社が「軽い」と考えても、提供すること自体が相手の倫理規程違反を招くおそれがある。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少額・手土産・昼食でも、申請中という時期では疑念を招き得る。</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提供・会食の前に、上長・法務・コンプライアンスへ相談する。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原則として手土産は渡さない・会食には誘わない。</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やむを得ない場合も、相手方の規程・自社方針を確認したうえで会社として判断する。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「これくらいなら大丈夫」と現場で判断して渡す。</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割り勘だから倫理上も常に問題ないと決めつける。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相手が受け取ったことをもって、問題なしと判断する。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打合せ記録、案件の進行状況、相談記録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上長／法務・コンプライアンス（官公庁対応窓口があればそちら）</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公務員への提供の可否、倫理規程・刑事リスクの該当性</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官公庁対応の事前相談ルールの徹底、公務員対応チェックの活用</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8〜9、21〜25、29（確認テスト・解答解説もあわせて参照）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ケース3　海外での手続迅速化支払</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海外子会社の担当者が、通関手続を早めるため、現地の公的機関職員から少額の支払を求められた。「現地では普通」と言われている。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外国公務員（公的機関職員）</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不正競争防止法上の外国公務員贈賄・ファシリテーションペイメント</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現地慣行・少額・手続迅速化・通関／行政手続・現場判断の危険</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相手は外国公務員に当たり得る。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手続を早めるための支払（ファシリテーションペイメント）は、少額・現地慣行であっても安全とは限らない。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不正競争防止法上、国際商取引に関する外国公務員等への不正の利益供与は処罰の対象となり得る。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現地担当者が外国公務員該当性・贈賄該当性を独断してはならない。</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支払の前に、本社法務・コンプライアンスへ相談する。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経済産業省の外国公務員贈賄防止指針や自社の腐敗防止ポリシーを確認する。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求められた事実・経緯・相手・金額を記録し、判断を仰ぐ。</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「現地では普通」を理由に、その場で支払う。</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少額だから問題ないと現場で判断する。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領収書のない支払を曖昧な名目で経費処理する。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支払を求められた経緯の記録、相手・金額・状況のメモ</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本社法務・コンプライアンス（海外案件所管）</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外国公務員該当性、ファシリテーションペイメントの可否、支払の正当性</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海外拠点向けの腐敗防止教育、現地支払の事前承認フロー整備</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10〜11、21〜23、30（確認テスト・解答解説もあわせて参照）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ケース4　購買担当者へのチケット提供</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仕入先候補会社が、自社の購買担当者へスポーツ観戦チケットを送ってきた。ちょうど仕入先選定の最終段階であり、担当者は「使わなければもったいない」と考えている。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受ける側か／渡す側か：受ける側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民間取引先（選定中の候補先）</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利益相反・選定の公正性・社内規程／相手方規程</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選定の最終段階・チケット（換金性・個人的便益）・取引判断への影響</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担当者は選定に関与しており、選定の最終段階という影響し得るタイミングである。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チケットは個人的便益・換金性があり、原則として高リスクである。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「もったいない」という理由は、受領を正当化しない。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受領は選定の公正性への疑念を生む。</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受け取らず、丁寧に辞退する（受領済みなら使用せず保管し報告）。</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上長・購買部門・法務へ報告・相談する。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辞退・返却の対応は会社として判断する。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「使わなければもったいない」と考えて使用する。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選定に関与しながら、黙って受け取る。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個人で返却の可否を判断し、勝手に処理する。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送付状・送り主情報、チケットそのもの、報告記録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上長／購買・調達部門／法務・コンプライアンス</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受領・使用の可否、選定への影響の有無、返却方法</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選定担当と受領窓口の分離、選定期間中の受領禁止ルールの周知</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13、16、18、21〜25、31（確認テスト・解答解説もあわせて参照）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ケース5　発注先への協賛要請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発注担当者が、委託先に対し、自社イベントへの協賛金や景品提供を「お願い」した。委託先は今後の取引継続を気にして断りにくい立場である。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受ける側か／渡す側か：渡す側（求める側）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委託先（自社が発注する立場）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優越的地位の濫用・取適法（発注側コンプライアンス）・不公正な取引</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発注者側からの要請・取引継続への期待・示唆／黙示の圧力</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発注者が取引上の立場を背景に、協賛・景品提供を事実上求めている。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委託先は取引継続を気にして断りにくく、「自主的な申出」に見えても圧力が働き得る。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接待・贈答・協賛・購入等を取引と結びつけて求めることは、優越的地位の濫用・取適法上の問題につながり得る。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詳細は独占禁止法（第16回）・取適法（第17回）で扱うが、本研修では「発注側が求めない」が原則。</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協賛・景品提供の要請を取り下げ、求めない方針を社内で徹底する。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取引先へ「お願いがあった場合は断ってよい」と伝える文面を用意する。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購買・調達部門、法務へ相談する。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「自主的にお願いしただけ」として要請を続ける。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協賛の有無を発注量・契約更新・検収・支払と結びつける。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黙示的に協賛を期待させる言動をとる。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依頼の経緯・やり取りの記録、是正の記録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購買・調達部門／法務・コンプライアンス</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要請が優越的地位の濫用・取適法に当たるかの最終判断</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発注側コンプライアンス教育、協賛・購入要請の禁止の明文化</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13〜14、22、32（確認テスト・解答解説もあわせて参照）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ケース6　代理店経由の不明確な成功報酬</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海外案件で、現地代理店が「政府関係者との調整に必要」として高額な成功報酬を求めている。業務内容や支払先は曖昧で、領収書も出せないと言われている。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受ける側か／渡す側か：渡す側（第三者経由）</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現地代理店（背後に外国公務員の関与の可能性）</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外国公務員贈賄（不正競争防止法）・第三者経由の迂回支払・不透明な資金</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代理店経由・不明確な成功報酬・領収書なし・支払先不明・政府関係者調整名目</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「政府関係者との調整」名目の高額報酬は、外国公務員への利益供与の迂回となり得る。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業務内容・支払先が曖昧で、領収書も出ないことは重大な危険信号である。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代理店・コンサルタント経由の支払でも、自社が責任を免れるわけではない。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第三者（代理店）のデューデリジェンス・契約・支払承認が必要である。</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支払を保留し、本社法務・コンプライアンスへ相談する。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代理店の実態・業務内容・支払根拠を確認し、契約・支払条件を見直す。</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外国公務員贈賄防止指針・腐敗防止ポリシーに沿って対応する。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「調整に必要」を鵜呑みにして支払う。</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代理店経由だから自社は無関係と考える。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領収書のない支払を不透明な名目で処理する。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代理店の要求内容、契約書、支払根拠資料、相談記録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本社法務・コンプライアンス（海外案件所管）</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支払の可否、外国公務員贈賄該当性、代理店の適格性の最終判断</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第三者デューデリジェンスの実施、成功報酬・支払条件の審査</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10〜11、20、22、33（確認テスト・解答解説もあわせて参照）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ケース7　取引先担当者個人への謝礼</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社員が、取引先担当者から「今回の案件をスムーズに進めたので、個人的に少し謝礼をもらえないか」と求められた。社員は、会社のために支払った方がよいか迷っている。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受ける側か／渡す側か：渡す側（個人への提供）</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民間取引先の担当者個人</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キックバック・背任／不正会計・相手方規程違反・取引の公正性</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個人的謝礼・相手から求められた・会社のためという誤った正当化</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取引先担当者個人への謝礼は、キックバックとなり得る。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相手が求めた・会社のため、という理由は提供を正当化しない。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相手方の規程違反・背任・不正会計につながるおそれがある。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個人への支払は記録・名目が不透明になりやすく、高リスクである。</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支払わず、上長・法務・コンプライアンスへ報告・相談する。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求められた事実・経緯を記録し、保全する。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対応方針は会社として決める。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「会社のためだから」と考えて支払う。</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相手が求めたことを理由に応じる。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個人で謝罪・約束・支払をして処理を済ませる。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謝礼を求められたメール・メッセージ、経緯メモ</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上長／法務・コンプライアンス（内部通報窓口も）</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支払の可否、相手方規程違反・背任等の該当性</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「会社のためでも不可」の周知、相談・通報の心理的ハードルの低減</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12、20、26〜27（確認テスト・解答解説もあわせて参照）</w:t>
      </w:r>
    </w:p>
    <w:p>
      <w:pPr>
        <w:spacing w:after="170"/>
      </w:pPr>
      <w:r>
        <w:rPr>
          <w:rFonts w:ascii="Meiryo" w:cs="Meiryo" w:eastAsia="Meiryo" w:hAnsi="Meiryo"/>
          <w:sz w:val="8"/>
          <w:szCs w:val="8"/>
        </w:rPr>
        <w:t xml:space="preserve"/>
      </w:r>
    </w:p>
    <w:p>
      <w:pPr>
        <w:keepNext/>
        <w:shd w:fill="16314F" w:color="auto" w:val="clear"/>
        <w:spacing w:after="160" w:before="300"/>
        <w:ind w:left="120" w:right="120"/>
      </w:pPr>
      <w:r>
        <w:rPr>
          <w:rFonts w:ascii="Meiryo" w:cs="Meiryo" w:eastAsia="Meiryo" w:hAnsi="Meiryo"/>
          <w:b/>
          <w:bCs/>
          <w:color w:val="FFFFFF"/>
          <w:sz w:val="27"/>
          <w:szCs w:val="27"/>
        </w:rPr>
        <w:t xml:space="preserve">ケース8　相手方規程に反する贈答</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状況</w:t>
      </w:r>
    </w:p>
    <w:p>
      <w:pPr>
        <w:pBdr>
          <w:left w:val="single" w:color="16314F" w:sz="18" w:space="8"/>
        </w:pBdr>
        <w:shd w:fill="F4F6F8" w:color="auto" w:val="clear"/>
        <w:spacing w:after="120" w:before="20" w:line="280"/>
        <w:ind w:left="200" w:right="160"/>
      </w:pPr>
      <w:r>
        <w:rPr>
          <w:rFonts w:ascii="Meiryo" w:cs="Meiryo" w:eastAsia="Meiryo" w:hAnsi="Meiryo"/>
          <w:color w:val="222A30"/>
          <w:sz w:val="21"/>
          <w:szCs w:val="21"/>
        </w:rPr>
        <w:t xml:space="preserve">自社が取引先へ年末の贈答品を送ろうとしている。自社規程上は金額内だが、相手方企業の規程では取引先からの贈答品受領が禁止されている可能性がある。</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検討の視点（整理）</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600"/>
        <w:gridCol w:w="7038"/>
      </w:tblGrid>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立場</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受ける側か／渡す側か：渡す側</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相手方属性</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民間取引先（受領禁止規程の可能性）</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主なリスク類型</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相手方規程違反・関係悪化・記録／名目の問題</w:t>
            </w:r>
          </w:p>
        </w:tc>
      </w:tr>
      <w:tr>
        <w:tc>
          <w:tcPr>
            <w:tcW w:type="dxa" w:w="26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着目すべき要素</w:t>
            </w:r>
          </w:p>
        </w:tc>
        <w:tc>
          <w:tcPr>
            <w:tcW w:type="dxa" w:w="70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自社規程内でも相手方規程で受領禁止の可能性・送り先／目的／タイミング</w:t>
            </w:r>
          </w:p>
        </w:tc>
      </w:tr>
    </w:tbl>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確認ポイント</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自社規程の金額基準を満たしても、相手方の規程で受領が禁止されている場合がある。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金額基準だけでは可否を判断できない。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送り先・目的・タイミング（取引の節目等）にも注意が必要である。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事前確認をせずに送ると、相手の規程違反や返送・関係悪化を招く。</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必要な行動（例）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送付前に、相手方の受領可否（規程）を確認する。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受領不可なら、贈答を控えるか、儀礼の範囲の代替（書面の挨拶等）を検討する。</w:t>
      </w:r>
    </w:p>
    <w:p>
      <w:pPr>
        <w:pStyle w:val="ListParagraph"/>
        <w:numPr>
          <w:ilvl w:val="0"/>
          <w:numId w:val="2"/>
        </w:numPr>
        <w:spacing w:after="60" w:line="264"/>
      </w:pPr>
      <w:r>
        <w:rPr>
          <w:rFonts w:ascii="Meiryo" w:cs="Meiryo" w:eastAsia="Meiryo" w:hAnsi="Meiryo"/>
          <w:b w:val="false"/>
          <w:bCs w:val="false"/>
          <w:i w:val="false"/>
          <w:iCs w:val="false"/>
          <w:color w:val="2F6B4F"/>
          <w:sz w:val="21"/>
          <w:szCs w:val="21"/>
        </w:rPr>
        <w:t xml:space="preserve">送付する場合も、目的・金額・送り先を記録する。</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やってはいけない対応</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自社規程内であることだけを理由に送る。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相手方規程を確認せずに送付する。</w:t>
      </w:r>
    </w:p>
    <w:p>
      <w:pPr>
        <w:pStyle w:val="ListParagraph"/>
        <w:numPr>
          <w:ilvl w:val="0"/>
          <w:numId w:val="2"/>
        </w:numPr>
        <w:spacing w:after="60" w:line="264"/>
      </w:pPr>
      <w:r>
        <w:rPr>
          <w:rFonts w:ascii="Meiryo" w:cs="Meiryo" w:eastAsia="Meiryo" w:hAnsi="Meiryo"/>
          <w:b w:val="false"/>
          <w:bCs w:val="false"/>
          <w:i w:val="false"/>
          <w:iCs w:val="false"/>
          <w:color w:val="B42318"/>
          <w:sz w:val="21"/>
          <w:szCs w:val="21"/>
        </w:rPr>
        <w:t xml:space="preserve">受領を断られたのに重ねて送る。</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記録・報告・独断禁止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200"/>
        <w:gridCol w:w="6438"/>
      </w:tblGrid>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証拠として残すもの</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相手方規程確認の記録、送付の目的・金額・送り先の記録</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上長／法務・コンプライアンス</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現場が独断してはいけないこと</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相手方規程への適合性の最終判断（不明なら確認・相談）</w:t>
            </w:r>
          </w:p>
        </w:tc>
      </w:tr>
      <w:tr>
        <w:tc>
          <w:tcPr>
            <w:tcW w:type="dxa" w:w="32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再発防止のヒント</w:t>
            </w:r>
          </w:p>
        </w:tc>
        <w:tc>
          <w:tcPr>
            <w:tcW w:type="dxa" w:w="64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贈答前の相手方規程確認の手順化、儀礼範囲の代替策の整理</w:t>
            </w:r>
          </w:p>
        </w:tc>
      </w:tr>
    </w:tbl>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グループ討議メモ（記入）</w:t>
      </w:r>
    </w:p>
    <w:p>
      <w:pPr>
        <w:pBdr>
          <w:bottom w:val="single" w:color="D8E0E7" w:sz="4" w:space="6"/>
        </w:pBdr>
        <w:spacing w:after="90" w:line="360"/>
      </w:pPr>
      <w:r>
        <w:rPr>
          <w:rFonts w:ascii="Meiryo" w:cs="Meiryo" w:eastAsia="Meiryo" w:hAnsi="Meiryo"/>
          <w:sz w:val="21"/>
          <w:szCs w:val="21"/>
        </w:rPr>
        <w:t xml:space="preserve"> </w:t>
      </w:r>
    </w:p>
    <w:p>
      <w:pPr>
        <w:pBdr>
          <w:bottom w:val="single" w:color="D8E0E7" w:sz="4" w:space="6"/>
        </w:pBdr>
        <w:spacing w:after="90" w:line="360"/>
      </w:pPr>
      <w:r>
        <w:rPr>
          <w:rFonts w:ascii="Meiryo" w:cs="Meiryo" w:eastAsia="Meiryo" w:hAnsi="Meiryo"/>
          <w:sz w:val="21"/>
          <w:szCs w:val="21"/>
        </w:rPr>
        <w:t xml:space="preserve"> </w:t>
      </w:r>
    </w:p>
    <w:p>
      <w:pPr>
        <w:spacing w:after="40" w:line="276"/>
      </w:pPr>
      <w:r>
        <w:rPr>
          <w:rFonts w:ascii="Meiryo" w:cs="Meiryo" w:eastAsia="Meiryo" w:hAnsi="Meiryo"/>
          <w:b/>
          <w:bCs/>
          <w:i w:val="false"/>
          <w:iCs w:val="false"/>
          <w:color w:val="5B6B79"/>
          <w:sz w:val="18"/>
          <w:szCs w:val="18"/>
        </w:rPr>
        <w:t xml:space="preserve">講師解説参照：</w:t>
      </w:r>
      <w:r>
        <w:rPr>
          <w:rFonts w:ascii="Meiryo" w:cs="Meiryo" w:eastAsia="Meiryo" w:hAnsi="Meiryo"/>
          <w:b w:val="false"/>
          <w:bCs w:val="false"/>
          <w:i w:val="false"/>
          <w:iCs w:val="false"/>
          <w:color w:val="5B6B79"/>
          <w:sz w:val="18"/>
          <w:szCs w:val="18"/>
        </w:rPr>
        <w:t xml:space="preserve">スライド 17、21〜24（確認テスト・解答解説もあわせて参照）</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討議のまとめ（共通の行動原則）</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受ける前・渡す前・誘う前・誘われた時点で、いったん立ち止まって確認する。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相手が公務員・外国公務員・国有企業関係者・許認可／補助金／公共案件関係者かを確認する。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購買・発注・選定・入札・検収・価格交渉・監査・行政対応のタイミングでは特に慎重に判断する。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現金・金券・電子マネー・ポイント・旅行・ゴルフ・チケット・高額会食・リベート・キックバックは原則として高リスクと扱う。</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迷ったら受けない・渡さない・約束しない。断りにくければ上長・法務・コンプライアンスへ相談する。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事実・相手・日時・場所・金額・目的・同席者・やり取りを記録する。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不適切な接待・贈答（そのおそれを含む）に気づいたら、隠さず・消さず・すぐ報告する。</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贈収賄該当性・利益相反・会計／税務・懲戒・対外対応を現場で独断しない。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各ケースの結論は、自社規程・個別事情により変わり得ます。本ワークブックは判断の練習用であり、贈収賄該当性等の最終判断を行うものではありません。法令・制度基準日：2026年6月18日。</w:t>
      </w:r>
    </w:p>
    <w:sectPr>
      <w:footerReference w:type="default" r:id="rId7"/>
      <w:pgSz w:w="11906" w:h="16838" w:orient="portrait"/>
      <w:pgMar w:top="1134" w:right="1134" w:bottom="1100"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7" w:sz="4" w:space="4"/>
      </w:pBdr>
      <w:tabs>
        <w:tab w:val="right" w:pos="9638"/>
      </w:tabs>
    </w:pPr>
    <w:r>
      <w:rPr>
        <w:rFonts w:ascii="Meiryo" w:cs="Meiryo" w:eastAsia="Meiryo" w:hAnsi="Meiryo"/>
        <w:color w:val="5B6B79"/>
        <w:sz w:val="16"/>
        <w:szCs w:val="16"/>
      </w:rPr>
      <w:t xml:space="preserve">Legal GPT｜法務・総務のための社内研修資料20選　第14回 接待・贈答・贈収賄防止研修</w:t>
    </w:r>
    <w:r>
      <w:rPr>
        <w:rFonts w:ascii="Meiryo" w:cs="Meiryo" w:eastAsia="Meiryo" w:hAnsi="Meiryo"/>
      </w:rPr>
      <w:t xml:space="preserve">	</w:t>
    </w:r>
    <w:r>
      <w:rPr>
        <w:rFonts w:ascii="Meiryo" w:cs="Meiryo" w:eastAsia="Meiryo" w:hAnsi="Meiryo"/>
        <w:color w:val="5B6B79"/>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B58A3A"/>
      </w:rPr>
    </w:lvl>
    <w:lvl w:ilvl="1" w15:tentative="1">
      <w:start w:val="1"/>
      <w:numFmt w:val="bullet"/>
      <w:lvlText w:val="–"/>
      <w:lvlJc w:val="left"/>
      <w:pPr>
        <w:ind w:left="760" w:hanging="24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decimal"/>
      <w:lvlText w:val="%1."/>
      <w:lvlJc w:val="left"/>
      <w:pPr>
        <w:ind w:left="460" w:hanging="300"/>
      </w:pPr>
      <w:rPr>
        <w:b/>
        <w:bCs/>
        <w:color w:val="237A75"/>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22A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接待・贈答・贈収賄防止 ケースワークブック</dc:title>
  <dc:creator>Legal GPT</dc:creator>
  <dc:description>接待・贈答・贈収賄防止 ケースワークブック</dc:description>
  <cp:lastModifiedBy>Un-named</cp:lastModifiedBy>
  <cp:revision>1</cp:revision>
  <dcterms:created xsi:type="dcterms:W3CDTF">2026-06-23T01:40:49.402Z</dcterms:created>
  <dcterms:modified xsi:type="dcterms:W3CDTF">2026-06-23T01:40:49.402Z</dcterms:modified>
</cp:coreProperties>
</file>

<file path=docProps/custom.xml><?xml version="1.0" encoding="utf-8"?>
<Properties xmlns="http://schemas.openxmlformats.org/officeDocument/2006/custom-properties" xmlns:vt="http://schemas.openxmlformats.org/officeDocument/2006/docPropsVTypes"/>
</file>