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38"/>
      </w:tblGrid>
      <w:tr>
        <w:trPr>
          <w:trHeight w:val="150" w:hRule="exact"/>
        </w:trP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B58A3A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rFonts w:ascii="Meiryo" w:cs="Meiryo" w:eastAsia="Meiryo" w:hAnsi="Meiryo"/>
                <w:sz w:val="2"/>
                <w:szCs w:val="2"/>
              </w:rPr>
              <w:t xml:space="preserve"/>
            </w:r>
          </w:p>
        </w:tc>
      </w:tr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6314F" w:color="auto" w:val="clear"/>
            <w:tcMar>
              <w:top w:type="dxa" w:w="300"/>
              <w:left w:type="dxa" w:w="340"/>
              <w:bottom w:type="dxa" w:w="320"/>
              <w:right w:type="dxa" w:w="340"/>
            </w:tcMar>
          </w:tcPr>
          <w:p>
            <w:pPr>
              <w:spacing w:after="12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19"/>
                <w:szCs w:val="19"/>
              </w:rPr>
              <w:t xml:space="preserve">法務・総務のための社内研修資料20選</w:t>
            </w:r>
          </w:p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0"/>
                <w:szCs w:val="20"/>
                <w:shd w:fill="B58A3A" w:color="auto" w:val="clear"/>
              </w:rPr>
              <w:t xml:space="preserve">　第14回　</w:t>
            </w:r>
          </w:p>
          <w:p>
            <w:pPr>
              <w:spacing w:after="90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40"/>
                <w:szCs w:val="40"/>
              </w:rPr>
              <w:t xml:space="preserve">接待・贈答 受領・提供判断チェックリスト</w:t>
            </w:r>
          </w:p>
          <w:p>
            <w:pPr>
              <w:spacing w:after="0"/>
            </w:pPr>
            <w:r>
              <w:rPr>
                <w:rFonts w:ascii="Meiryo" w:cs="Meiryo" w:eastAsia="Meiryo" w:hAnsi="Meiryo"/>
                <w:color w:val="E7D6AE"/>
                <w:sz w:val="22"/>
                <w:szCs w:val="22"/>
              </w:rPr>
              <w:t xml:space="preserve">受ける前・渡す前・公務員対応・購買担当・断る／返す／相談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spacing w:after="12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本資料：</w:t>
      </w: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受領・提供判断チェックリスト（全5部）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資料区分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研修用チェックリスト（記入・印刷可）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対象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全社員・管理職・営業・購買・調達・海外事業・官公庁対応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構成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第1部 受ける前／第2部 渡す前／第3部 公務員・外国公務員／第4部 購買・調達・発注／第5部 断る・返却・相談</w:t>
            </w:r>
          </w:p>
        </w:tc>
      </w:tr>
      <w:tr>
        <w:tc>
          <w:tcPr>
            <w:tcW w:type="dxa" w:w="30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シリーズ</w:t>
            </w:r>
          </w:p>
        </w:tc>
        <w:tc>
          <w:tcPr>
            <w:tcW w:type="dxa" w:w="66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第14回 接待・贈答・贈収賄防止研修</w:t>
            </w:r>
          </w:p>
        </w:tc>
      </w:tr>
    </w:tbl>
    <w:p>
      <w:pPr>
        <w:spacing w:after="14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pBdr>
          <w:top w:val="none" w:color="FFFFFF" w:sz="0"/>
          <w:bottom w:val="none" w:color="FFFFFF" w:sz="0"/>
          <w:left w:val="single" w:color="B58A3A" w:sz="22" w:space="6"/>
          <w:right w:val="none" w:color="FFFFFF" w:sz="0"/>
        </w:pBdr>
        <w:shd w:fill="F6F0E2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ご注意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本資料は、自社規程・運用に合わせた追記・修正を前提とした研修用ひな形です。接待・贈答の可否、贈収賄該当性、利益相反、会計・税務処理の最終判断は、必ず自社の法務・コンプライアンス・経理等の所管部門にご確認ください。</w:t>
      </w:r>
    </w:p>
    <w:p>
      <w:pPr>
        <w:spacing w:before="40"/>
      </w:pPr>
      <w:r>
        <w:rPr>
          <w:rFonts w:ascii="Meiryo" w:cs="Meiryo" w:eastAsia="Meiryo" w:hAnsi="Meiryo"/>
          <w:color w:val="5B6B79"/>
          <w:sz w:val="19"/>
          <w:szCs w:val="19"/>
        </w:rPr>
        <w:t xml:space="preserve">法令・制度基準日：2026年6月18日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このチェックリストの使い方</w:t>
      </w:r>
    </w:p>
    <w:p>
      <w:pPr>
        <w:spacing w:after="90" w:line="276"/>
      </w:pPr>
      <w:r>
        <w:rPr>
          <w:rFonts w:ascii="Meiryo" w:cs="Meiryo" w:eastAsia="Meiryo" w:hAnsi="Meiryo"/>
          <w:b/>
          <w:bCs/>
          <w:i w:val="false"/>
          <w:iCs w:val="false"/>
          <w:color w:val="222A30"/>
          <w:sz w:val="21"/>
          <w:szCs w:val="21"/>
        </w:rPr>
        <w:t xml:space="preserve">接待・贈答は、一律に禁止されるものではありません。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一方で、相手方の属性、金額、タイミング、目的、頻度、見返りの有無によっては、刑法上の贈収賄、国家公務員倫理法・倫理規程上の問題、不正競争防止法上の外国公務員贈賄、優越的地位の濫用、利益相反、会計・税務上の問題など、重大なリスクにつながります。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このチェックリストは、</w:t>
      </w: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「受ける前」「渡す前」「公務員・外国公務員対応」「購買・調達・発注」「断る・返却・相談」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の5つの場面で、現場が立ち止まって確認するための</w:t>
      </w:r>
      <w:r>
        <w:rPr>
          <w:rFonts w:ascii="Meiryo" w:cs="Meiryo" w:eastAsia="Meiryo" w:hAnsi="Meiryo"/>
          <w:b/>
          <w:bCs/>
          <w:i w:val="false"/>
          <w:iCs w:val="false"/>
          <w:color w:val="222A30"/>
          <w:sz w:val="21"/>
          <w:szCs w:val="21"/>
        </w:rPr>
        <w:t xml:space="preserve">補助ツール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です。チェックが付かない項目が一つでもあれば、進める前に上長・法務・コンプライアンスへ相談してください。</w:t>
      </w:r>
    </w:p>
    <w:p>
      <w:pPr>
        <w:pBdr>
          <w:top w:val="none" w:color="FFFFFF" w:sz="0"/>
          <w:bottom w:val="none" w:color="FFFFFF" w:sz="0"/>
          <w:left w:val="single" w:color="B42318" w:sz="22" w:space="6"/>
          <w:right w:val="none" w:color="FFFFFF" w:sz="0"/>
        </w:pBdr>
        <w:shd w:fill="FBECEA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42318"/>
          <w:sz w:val="21"/>
          <w:szCs w:val="21"/>
        </w:rPr>
        <w:t xml:space="preserve">重要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このチェックリストは、可否を自動判定するものではありません。贈収賄該当性、外国公務員該当性、利益相反該当性、会計・税務処理の最終判断を現場で行うものでもありません。判断に迷う場合や、公務員・外国公務員・許認可・補助金・入札・公共案件が関係する場合は、必ず所管部門に相談してください。</w:t>
      </w:r>
    </w:p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各部の「迷ったら」の欄に該当する場合は、原則として受けない・渡さない・約束しないを選び、相談を優先してください。記録に残せない接待・贈答は、原則として行わないでください。</w:t>
      </w:r>
    </w:p>
    <w:p>
      <w:pPr>
        <w:keepNext/>
        <w:pBdr>
          <w:bottom w:val="single" w:color="237A75" w:sz="8" w:space="3"/>
        </w:pBdr>
        <w:spacing w:after="90" w:before="240"/>
      </w:pPr>
      <w:r>
        <w:rPr>
          <w:rFonts w:ascii="Meiryo" w:cs="Meiryo" w:eastAsia="Meiryo" w:hAnsi="Meiryo"/>
          <w:b/>
          <w:bCs/>
          <w:color w:val="237A75"/>
          <w:sz w:val="25"/>
          <w:szCs w:val="25"/>
        </w:rPr>
        <w:t xml:space="preserve">確認者・案件情報（共通）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確認日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確認者（氏名・所属）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相手方（会社・団体／氏名・役職）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案件名・取引名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2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接待・贈答の概要</w:t>
            </w:r>
          </w:p>
        </w:tc>
        <w:tc>
          <w:tcPr>
            <w:tcW w:type="dxa" w:w="64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第1部　受ける前チェック（取引先等から受ける場合）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自分が</w:t>
      </w: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1"/>
          <w:szCs w:val="21"/>
        </w:rPr>
        <w:t xml:space="preserve">受ける側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のときに確認します。一つでも「いいえ」と言い切れない項目があれば、受領を保留し、相談してください。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相手方・取引状況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相手は、取引先・発注先・候補先・選定中の相手・検収中の相手ではないか（該当する場合は高リスク）。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現在、見積・契約交渉・価格交渉・発注・検収・監査・クレーム対応・入札の最中ではないか。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相手は公務員・みなし公務員・外国公務員・国有企業／公的機関関係者ではないか（該当する場合は第3部へ）。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内容・金額・頻度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現金・金券・商品券・電子マネー・ポイント・チケット・旅行・ゴルフ・宿泊・家族向け便益ではないか（これらは原則として高リスク）。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金額・頻度・時期・目的が、通常の社交儀礼の範囲を超えていないか。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短期間に繰り返し受けていないか、特定の相手に偏っていないか。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公正性・記録・規程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相手方が、自社の判断（選定・発注・検収・価格・評価等）に影響を与えようとしていないか。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第三者から見て、取引判断との関係で疑念を持たれないか。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自社規程上、事前承認または事後報告が必要な内容ではないか（必要なら手続を行う）。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相手方の規程（贈答受領禁止等）に反していないか。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相手・日時・場所・金額・目的・同席者を記録に残せる内容か。</w:t>
      </w:r>
    </w:p>
    <w:p>
      <w:pPr>
        <w:pBdr>
          <w:top w:val="none" w:color="FFFFFF" w:sz="0"/>
          <w:bottom w:val="none" w:color="FFFFFF" w:sz="0"/>
          <w:left w:val="single" w:color="B58A3A" w:sz="22" w:space="6"/>
          <w:right w:val="none" w:color="FFFFFF" w:sz="0"/>
        </w:pBdr>
        <w:shd w:fill="F6F0E2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迷ったら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迷う場合は受け取らず、その場で結論を出さずに、上長・法務・コンプライアンスへ相談してください。「その場で断ると角が立つ」と感じる場合ほど、独断せず相談することが安全です。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第2部　渡す前チェック（自社から提供する場合）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自分が</w:t>
      </w:r>
      <w:r>
        <w:rPr>
          <w:rFonts w:ascii="Meiryo" w:cs="Meiryo" w:eastAsia="Meiryo" w:hAnsi="Meiryo"/>
          <w:b/>
          <w:bCs/>
          <w:i w:val="false"/>
          <w:iCs w:val="false"/>
          <w:color w:val="B58A3A"/>
          <w:sz w:val="21"/>
          <w:szCs w:val="21"/>
        </w:rPr>
        <w:t xml:space="preserve">渡す側・誘う側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のときに確認します。提供・招待・支払の前に立ち止まってください。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相手方の属性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相手は公務員・みなし公務員・外国公務員・国有企業／公的機関関係者ではないか（該当する場合は第3部へ。原則は提供しない・誘わない）。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相手は取引先・候補先・購買担当・検収担当・選定担当・公共案件関係者ではないか。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タイミング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許認可・補助金・入札・検査・行政指導・契約交渉・発注・検収の前後ではないか。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相手の意思決定（選定・評価・許認可等）に影響し得るタイミングではないか。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内容・相手の範囲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現金・金券・商品券・電子マネー・ポイント・個人的便益を提供しようとしていないか（これらは原則として高リスク）。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相手本人だけでなく、家族・親族・個人会社・関係会社・団体への便益になっていないか。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記録・承認・会計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提供の目的・金額・相手・日時・場所・同席者を記録できるか。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社内の事前承認を得ているか（金額基準・承認基準を確認したか）。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相手方の規程（受領禁止・上限額等）に反していないか、必要なら事前に確認したか。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会計・税務処理の名目が、実態と一致しているか（実態と異なる名目で処理しない）。</w:t>
      </w:r>
    </w:p>
    <w:p>
      <w:pPr>
        <w:pBdr>
          <w:top w:val="none" w:color="FFFFFF" w:sz="0"/>
          <w:bottom w:val="none" w:color="FFFFFF" w:sz="0"/>
          <w:left w:val="single" w:color="B42318" w:sz="22" w:space="6"/>
          <w:right w:val="none" w:color="FFFFFF" w:sz="0"/>
        </w:pBdr>
        <w:shd w:fill="FBECEA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42318"/>
          <w:sz w:val="21"/>
          <w:szCs w:val="21"/>
        </w:rPr>
        <w:t xml:space="preserve">迷ったら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が公務員・外国公務員・国有企業関係者の可能性がある場合、現地慣行や少額を理由に独断で提供しないでください。提供の前に、上長・法務・コンプライアンス・（海外案件は）本社所管部門へ相談してください。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第3部　公務員・外国公務員対応チェック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相手が公務員・外国公務員等に</w:t>
      </w:r>
      <w:r>
        <w:rPr>
          <w:rFonts w:ascii="Meiryo" w:cs="Meiryo" w:eastAsia="Meiryo" w:hAnsi="Meiryo"/>
          <w:b/>
          <w:bCs/>
          <w:i w:val="false"/>
          <w:iCs w:val="false"/>
          <w:color w:val="B42318"/>
          <w:sz w:val="21"/>
          <w:szCs w:val="21"/>
        </w:rPr>
        <w:t xml:space="preserve">当たり得る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場合は、民間取引先以上に慎重に判断します。該当の可能性がある時点で、提供・招待の前に相談してください。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相手方の属性確認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相手が、国内公務員・みなし公務員・自治体職員・独立行政法人／公共機関の職員・国有企業関係者・外国公務員・国際機関関係者に当たり得るか。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相手が、自社にとっての利害関係者（許認可・補助金・契約・検査・調達等の相手方）に当たり得るか。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案件との関係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許認可・補助金・入札・契約・検査・行政指導・公共案件と関係があるか（あれば特に慎重に）。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提供しようとしている内容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会食・手土産・送迎・交通費・宿泊費・視察・研修旅行・ゴルフ・チケット等を提供・負担しようとしていないか。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現地慣行・少額・手続迅速化・謝礼・寄附・スポンサー・代理店経由の支払という説明で進めようとしていないか。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相手から求められている／断ると不利益を受けると感じている、という状況ではないか（その場合こそ相談）。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手続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現場で該当性・可否を判断せず、上長・法務・コンプライアンス（海外案件は本社所管部門）へ相談したか。</w:t>
      </w:r>
    </w:p>
    <w:p>
      <w:pPr>
        <w:pBdr>
          <w:top w:val="none" w:color="FFFFFF" w:sz="0"/>
          <w:bottom w:val="none" w:color="FFFFFF" w:sz="0"/>
          <w:left w:val="single" w:color="16314F" w:sz="22" w:space="6"/>
          <w:right w:val="none" w:color="FFFFFF" w:sz="0"/>
        </w:pBdr>
        <w:shd w:fill="EAEFF4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区別して理解する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刑法上の贈収賄（公務員の職務に関する賄賂）と、国家公務員倫理法・倫理規程上の規制（利害関係者からの贈与・供応接待・遊技等の制限）と、不正競争防止法上の外国公務員贈賄は、それぞれ別の枠組みです。相手方の倫理規程の基準は相手の義務であって、自社にとっての「安全な線引き」ではありません。</w:t>
      </w:r>
    </w:p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国家公務員倫理規程では、利害関係者からの贈与や供応接待、利害関係者と共にする遊技・ゴルフ・旅行等が原則として禁止・制限されています。自社が「問題ない」と考えても、提供すること自体が相手の規程違反を招くおそれがあります。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第4部　購買・調達・発注担当者チェック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発注・選定・価格交渉・検収・支払に関与する立場では、</w:t>
      </w: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受ける側・求める側の双方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で特に慎重に判断します。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37A75"/>
          <w:sz w:val="22"/>
          <w:szCs w:val="22"/>
        </w:rPr>
        <w:t xml:space="preserve">受ける側として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自分が発注・選定・価格交渉・検収・支払に関与している相手からの接待・贈答ではないか（該当する場合は原則辞退）。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選定・入札・見積の途中で、特定の候補先から便益を受けようとしていないか。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「使わなければもったいない」という理由で、チケット・物品等を受け取ろうとしていないか。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求める側として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取引先へ、接待・贈答・協賛・購入・寄附・無償役務・イベント参加・広告協賛等を求めていないか（事実上の要請・示唆・黙示の期待を含む）。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相手が、継続取引への期待から断りにくい立場ではないか。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契約更新・発注量・検収・支払・価格交渉・選定と、接待・贈答を結びつけていないか。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相手からの「自主的な申出」に見えても、発注者側の立場や期待が影響していないか。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手続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優越的地位の濫用・取適法（発注側コンプライアンス）の論点に接続する可能性がないか確認したか。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購買・調達部門、法務、コンプライアンスへ相談したか。</w:t>
      </w:r>
    </w:p>
    <w:p>
      <w:pPr>
        <w:pBdr>
          <w:top w:val="none" w:color="FFFFFF" w:sz="0"/>
          <w:bottom w:val="none" w:color="FFFFFF" w:sz="0"/>
          <w:left w:val="single" w:color="B58A3A" w:sz="22" w:space="6"/>
          <w:right w:val="none" w:color="FFFFFF" w:sz="0"/>
        </w:pBdr>
        <w:shd w:fill="F6F0E2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B58A3A"/>
          <w:sz w:val="21"/>
          <w:szCs w:val="21"/>
        </w:rPr>
        <w:t xml:space="preserve">接続論点（詳細は別回）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発注者が取引上の立場を背景に接待・贈答・協賛・購入等を事実上求めることは、優越的地位の濫用（独占禁止法）や取適法（発注側の義務）の問題につながり得ます。優越的地位の濫用の詳細は第16回、取適法の禁止行為の詳細は第17回で扱います。本研修では「発注側が求めてはいけない」という行動原則を押さえてください。</w:t>
      </w:r>
    </w:p>
    <w:p>
      <w:r>
        <w:br w:type="page"/>
      </w:r>
    </w:p>
    <w:p>
      <w:pPr>
        <w:keepNext/>
        <w:shd w:fill="16314F" w:color="auto" w:val="clear"/>
        <w:spacing w:after="160" w:before="300"/>
        <w:ind w:left="120" w:right="120"/>
      </w:pPr>
      <w:r>
        <w:rPr>
          <w:rFonts w:ascii="Meiryo" w:cs="Meiryo" w:eastAsia="Meiryo" w:hAnsi="Meiryo"/>
          <w:b/>
          <w:bCs/>
          <w:color w:val="FFFFFF"/>
          <w:sz w:val="27"/>
          <w:szCs w:val="27"/>
        </w:rPr>
        <w:t xml:space="preserve">第5部　断る・返却する・相談するチェック</w:t>
      </w:r>
    </w:p>
    <w:p>
      <w:pPr>
        <w:spacing w:after="9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受けてしまった場合・断りにくい場合の</w:t>
      </w:r>
      <w:r>
        <w:rPr>
          <w:rFonts w:ascii="Meiryo" w:cs="Meiryo" w:eastAsia="Meiryo" w:hAnsi="Meiryo"/>
          <w:b/>
          <w:bCs/>
          <w:i w:val="false"/>
          <w:iCs w:val="false"/>
          <w:color w:val="B42318"/>
          <w:sz w:val="21"/>
          <w:szCs w:val="21"/>
        </w:rPr>
        <w:t xml:space="preserve">初動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22A30"/>
          <w:sz w:val="21"/>
          <w:szCs w:val="21"/>
        </w:rPr>
        <w:t xml:space="preserve">です。隠さず、消さず、すぐ報告・相談してください。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2F6B4F"/>
          <w:sz w:val="22"/>
          <w:szCs w:val="22"/>
        </w:rPr>
        <w:t xml:space="preserve">受領前に気づいたとき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受領前であれば、その場で丁寧に辞退する（自社規程・コンプライアンス方針を理由にする）。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B42318"/>
          <w:sz w:val="22"/>
          <w:szCs w:val="22"/>
        </w:rPr>
        <w:t xml:space="preserve">受領後に気づいたとき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開封・使用・転売・社内配布・換金をしない。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上長・法務・コンプライアンスへ速やかに報告する。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返却・寄附・会社保管・廃棄などの対応は、会社として判断する（個人で勝手に処理しない）。</w:t>
      </w:r>
    </w:p>
    <w:p>
      <w:pPr>
        <w:keepNext/>
        <w:spacing w:after="60" w:before="170"/>
      </w:pP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● </w:t>
      </w:r>
      <w:r>
        <w:rPr>
          <w:rFonts w:ascii="Meiryo" w:cs="Meiryo" w:eastAsia="Meiryo" w:hAnsi="Meiryo"/>
          <w:b/>
          <w:bCs/>
          <w:color w:val="16314F"/>
          <w:sz w:val="22"/>
          <w:szCs w:val="22"/>
        </w:rPr>
        <w:t xml:space="preserve">断り方・記録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相手に断る場合は、相手個人を非難せず、自社規程・コンプライアンス方針を理由にする。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一人で相手に謝罪・約束・返金・代替提案をしない（対応方針は会社として決める）。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証拠となるメール・招待状・領収書・写真・メッセージを保存する。</w:t>
      </w:r>
    </w:p>
    <w:p>
      <w:pPr>
        <w:spacing w:after="70" w:line="268"/>
        <w:ind w:left="60"/>
      </w:pPr>
      <w:r>
        <w:rPr>
          <w:rFonts w:ascii="Meiryo" w:cs="Meiryo" w:eastAsia="Meiryo" w:hAnsi="Meiryo"/>
          <w:color w:val="16314F"/>
          <w:sz w:val="22"/>
          <w:szCs w:val="22"/>
        </w:rPr>
        <w:t xml:space="preserve">☐ 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記録シート（記録・承認・辞退・不正疑い初動ツールキット）へ入力する。</w:t>
      </w:r>
    </w:p>
    <w:p>
      <w:pPr>
        <w:pBdr>
          <w:top w:val="none" w:color="FFFFFF" w:sz="0"/>
          <w:bottom w:val="none" w:color="FFFFFF" w:sz="0"/>
          <w:left w:val="single" w:color="2F6B4F" w:sz="22" w:space="6"/>
          <w:right w:val="none" w:color="FFFFFF" w:sz="0"/>
        </w:pBdr>
        <w:shd w:fill="E9F0EC" w:color="auto" w:val="clear"/>
        <w:spacing w:after="120" w:before="80" w:line="268"/>
        <w:ind w:left="170" w:right="140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辞退・相談はリスクではなく適切な対応　</w:t>
      </w:r>
      <w:r>
        <w:rPr>
          <w:rFonts w:ascii="Meiryo" w:cs="Meiryo" w:eastAsia="Meiryo" w:hAnsi="Meiryo"/>
          <w:color w:val="222A30"/>
          <w:sz w:val="20"/>
          <w:szCs w:val="20"/>
        </w:rPr>
        <w:t xml:space="preserve">丁寧に辞退すること、社内に相談することは、相手との関係を壊す行為ではなく、双方を守る適切な対応です。断りにくいと感じるほど、上長・法務・コンプライアンスを巻き込んでください。</w:t>
      </w:r>
    </w:p>
    <w:p>
      <w:pPr>
        <w:spacing w:after="80"/>
      </w:pPr>
      <w:r>
        <w:rPr>
          <w:rFonts w:ascii="Meiryo" w:cs="Meiryo" w:eastAsia="Meiryo" w:hAnsi="Meiryo"/>
          <w:sz w:val="8"/>
          <w:szCs w:val="8"/>
        </w:rPr>
        <w:t xml:space="preserve"/>
      </w:r>
    </w:p>
    <w:p>
      <w:pPr>
        <w:keepNext/>
        <w:pBdr>
          <w:bottom w:val="single" w:color="16314F" w:sz="8" w:space="3"/>
        </w:pBdr>
        <w:spacing w:after="90" w:before="240"/>
      </w:pPr>
      <w:r>
        <w:rPr>
          <w:rFonts w:ascii="Meiryo" w:cs="Meiryo" w:eastAsia="Meiryo" w:hAnsi="Meiryo"/>
          <w:b/>
          <w:bCs/>
          <w:color w:val="16314F"/>
          <w:sz w:val="25"/>
          <w:szCs w:val="25"/>
        </w:rPr>
        <w:t xml:space="preserve">相談・報告先（自社記入）</w:t>
      </w:r>
    </w:p>
    <w:p>
      <w:pPr>
        <w:spacing w:after="90" w:line="276"/>
      </w:pPr>
      <w:r>
        <w:rPr>
          <w:rFonts w:ascii="Meiryo" w:cs="Meiryo" w:eastAsia="Meiryo" w:hAnsi="Meiryo"/>
          <w:b/>
          <w:bCs/>
          <w:i w:val="false"/>
          <w:iCs w:val="false"/>
          <w:color w:val="B42318"/>
          <w:sz w:val="21"/>
          <w:szCs w:val="21"/>
        </w:rPr>
        <w:t xml:space="preserve">【要自社記入：接待・贈答・贈収賄防止に関する相談窓口】</w:t>
      </w:r>
    </w:p>
    <w:tbl>
      <w:tblPr>
        <w:tblW w:type="dxa" w:w="9638"/>
        <w:tblBorders>
          <w:top w:val="single" w:color="D8E0E7" w:sz="4"/>
          <w:left w:val="single" w:color="D8E0E7" w:sz="4"/>
          <w:bottom w:val="single" w:color="D8E0E7" w:sz="4"/>
          <w:right w:val="single" w:color="D8E0E7" w:sz="4"/>
          <w:insideH w:val="single" w:color="D8E0E7" w:sz="4"/>
          <w:insideV w:val="single" w:color="D8E0E7" w:sz="4"/>
        </w:tblBorders>
      </w:tblPr>
      <w:tblGrid>
        <w:gridCol w:w="3400"/>
        <w:gridCol w:w="6238"/>
      </w:tblGrid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一次相談（上長・所属長）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法務・コンプライアンス窓口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購買・調達部門（購買案件）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海外事業・本社所管（海外案件）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経理・税務（経費・処理）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  <w:tr>
        <w:tc>
          <w:tcPr>
            <w:tcW w:type="dxa" w:w="3400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shd w:fill="EAEFF4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内部通報窓口</w:t>
            </w:r>
          </w:p>
        </w:tc>
        <w:tc>
          <w:tcPr>
            <w:tcW w:type="dxa" w:w="6238"/>
            <w:tcBorders>
              <w:top w:val="single" w:color="D8E0E7" w:sz="4"/>
              <w:left w:val="single" w:color="D8E0E7" w:sz="4"/>
              <w:bottom w:val="single" w:color="D8E0E7" w:sz="4"/>
              <w:right w:val="single" w:color="D8E0E7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22A30"/>
                <w:sz w:val="20"/>
                <w:szCs w:val="20"/>
              </w:rPr>
              <w:t xml:space="preserve">　</w:t>
            </w:r>
          </w:p>
        </w:tc>
      </w:tr>
    </w:tbl>
    <w:p>
      <w:pPr>
        <w:pBdr>
          <w:top w:val="none" w:color="FFFFFF" w:sz="0"/>
          <w:bottom w:val="none" w:color="FFFFFF" w:sz="0"/>
          <w:left w:val="single" w:color="B58A3A" w:sz="18" w:space="6"/>
          <w:right w:val="none" w:color="FFFFFF" w:sz="0"/>
        </w:pBdr>
        <w:shd w:fill="F4F6F8" w:color="auto" w:val="clear"/>
        <w:spacing w:after="120" w:before="60" w:line="264"/>
        <w:ind w:left="160" w:right="120"/>
      </w:pPr>
      <w:r>
        <w:rPr>
          <w:rFonts w:ascii="Meiryo" w:cs="Meiryo" w:eastAsia="Meiryo" w:hAnsi="Meiryo"/>
          <w:i/>
          <w:iCs/>
          <w:color w:val="5B6B79"/>
          <w:sz w:val="19"/>
          <w:szCs w:val="19"/>
        </w:rPr>
        <w:t xml:space="preserve">本欄は各社で実際の窓口・担当・連絡方法に差し替えてください。本資料には架空の連絡先を記載していません。法令・制度基準日：2026年6月18日。</w:t>
      </w:r>
    </w:p>
    <w:sectPr>
      <w:footerReference w:type="default" r:id="rId7"/>
      <w:pgSz w:w="11906" w:h="16838" w:orient="portrait"/>
      <w:pgMar w:top="1134" w:right="1134" w:bottom="1100" w:left="1134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E0E7" w:sz="4" w:space="4"/>
      </w:pBdr>
      <w:tabs>
        <w:tab w:val="right" w:pos="9638"/>
      </w:tabs>
    </w:pPr>
    <w:r>
      <w:rPr>
        <w:rFonts w:ascii="Meiryo" w:cs="Meiryo" w:eastAsia="Meiryo" w:hAnsi="Meiryo"/>
        <w:color w:val="5B6B79"/>
        <w:sz w:val="16"/>
        <w:szCs w:val="16"/>
      </w:rPr>
      <w:t xml:space="preserve">Legal GPT｜法務・総務のための社内研修資料20選　第14回 接待・贈答・贈収賄防止研修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9"/>
        <w:sz w:val="16"/>
        <w:szCs w:val="16"/>
      </w:rPr>
      <w:t xml:space="preserve">p.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7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237A75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22A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接待・贈答 受領・提供判断チェックリスト</dc:title>
  <dc:creator>Legal GPT</dc:creator>
  <dc:description>接待・贈答 受領・提供判断チェックリスト</dc:description>
  <cp:lastModifiedBy>Un-named</cp:lastModifiedBy>
  <cp:revision>1</cp:revision>
  <dcterms:created xsi:type="dcterms:W3CDTF">2026-06-23T01:40:48.879Z</dcterms:created>
  <dcterms:modified xsi:type="dcterms:W3CDTF">2026-06-23T01:40:48.879Z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