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150" w:hRule="exact"/>
        </w:trPr>
        <w:tc>
          <w:tcPr>
            <w:tcW w:type="dxa" w:w="9638"/>
            <w:tcBorders>
              <w:top w:val="none" w:color="FFFFFF" w:sz="0"/>
              <w:left w:val="none" w:color="FFFFFF" w:sz="0"/>
              <w:bottom w:val="none" w:color="FFFFFF" w:sz="0"/>
              <w:right w:val="none" w:color="FFFFFF" w:sz="0"/>
            </w:tcBorders>
            <w:shd w:fill="B58A3A" w:color="auto" w:val="clear"/>
            <w:tcMar>
              <w:top w:type="dxa" w:w="0"/>
              <w:left w:type="dxa" w:w="0"/>
              <w:bottom w:type="dxa" w:w="0"/>
              <w:right w:type="dxa" w:w="0"/>
            </w:tcMar>
          </w:tcPr>
          <w:p>
            <w:pPr>
              <w:spacing w:after="0" w:before="0"/>
            </w:pPr>
            <w:r>
              <w:rPr>
                <w:rFonts w:ascii="Meiryo" w:cs="Meiryo" w:eastAsia="Meiryo" w:hAnsi="Meiryo"/>
                <w:sz w:val="2"/>
                <w:szCs w:val="2"/>
              </w:rPr>
              <w:t xml:space="preserve"/>
            </w:r>
          </w:p>
        </w:tc>
      </w:tr>
      <w:tr>
        <w:tc>
          <w:tcPr>
            <w:tcW w:type="dxa" w:w="9638"/>
            <w:tcBorders>
              <w:top w:val="none" w:color="FFFFFF" w:sz="0"/>
              <w:left w:val="none" w:color="FFFFFF" w:sz="0"/>
              <w:bottom w:val="none" w:color="FFFFFF" w:sz="0"/>
              <w:right w:val="none" w:color="FFFFFF" w:sz="0"/>
            </w:tcBorders>
            <w:shd w:fill="16314F" w:color="auto" w:val="clear"/>
            <w:tcMar>
              <w:top w:type="dxa" w:w="300"/>
              <w:left w:type="dxa" w:w="340"/>
              <w:bottom w:type="dxa" w:w="320"/>
              <w:right w:type="dxa" w:w="340"/>
            </w:tcMar>
          </w:tcPr>
          <w:p>
            <w:pPr>
              <w:spacing w:after="120"/>
            </w:pPr>
            <w:r>
              <w:rPr>
                <w:rFonts w:ascii="Meiryo" w:cs="Meiryo" w:eastAsia="Meiryo" w:hAnsi="Meiryo"/>
                <w:b/>
                <w:bCs/>
                <w:color w:val="B58A3A"/>
                <w:sz w:val="19"/>
                <w:szCs w:val="19"/>
              </w:rPr>
              <w:t xml:space="preserve">法務・総務のための社内研修資料20選</w:t>
            </w:r>
          </w:p>
          <w:p>
            <w:pPr>
              <w:spacing w:after="70"/>
            </w:pPr>
            <w:r>
              <w:rPr>
                <w:rFonts w:ascii="Meiryo" w:cs="Meiryo" w:eastAsia="Meiryo" w:hAnsi="Meiryo"/>
                <w:b/>
                <w:bCs/>
                <w:color w:val="16314F"/>
                <w:sz w:val="20"/>
                <w:szCs w:val="20"/>
                <w:shd w:fill="B58A3A" w:color="auto" w:val="clear"/>
              </w:rPr>
              <w:t xml:space="preserve">　第14回　</w:t>
            </w:r>
          </w:p>
          <w:p>
            <w:pPr>
              <w:spacing w:after="90"/>
            </w:pPr>
            <w:r>
              <w:rPr>
                <w:rFonts w:ascii="Meiryo" w:cs="Meiryo" w:eastAsia="Meiryo" w:hAnsi="Meiryo"/>
                <w:b/>
                <w:bCs/>
                <w:color w:val="FFFFFF"/>
                <w:sz w:val="40"/>
                <w:szCs w:val="40"/>
              </w:rPr>
              <w:t xml:space="preserve">接待・贈答・贈収賄防止研修 講師台本</w:t>
            </w:r>
          </w:p>
          <w:p>
            <w:pPr>
              <w:spacing w:after="0"/>
            </w:pPr>
            <w:r>
              <w:rPr>
                <w:rFonts w:ascii="Meiryo" w:cs="Meiryo" w:eastAsia="Meiryo" w:hAnsi="Meiryo"/>
                <w:color w:val="E7D6AE"/>
                <w:sz w:val="22"/>
                <w:szCs w:val="22"/>
              </w:rPr>
              <w:t xml:space="preserve">全36スライド対応／45〜55分／想定問答・70〜80分拡張</w:t>
            </w:r>
          </w:p>
        </w:tc>
      </w:tr>
    </w:tbl>
    <w:p>
      <w:pPr>
        <w:spacing w:after="120"/>
      </w:pPr>
      <w:r>
        <w:rPr>
          <w:rFonts w:ascii="Meiryo" w:cs="Meiryo" w:eastAsia="Meiryo" w:hAnsi="Meiryo"/>
          <w:sz w:val="8"/>
          <w:szCs w:val="8"/>
        </w:rPr>
        <w:t xml:space="preserve"/>
      </w:r>
    </w:p>
    <w:p>
      <w:pPr>
        <w:spacing w:after="120" w:before="120"/>
      </w:pPr>
      <w:r>
        <w:rPr>
          <w:rFonts w:ascii="Meiryo" w:cs="Meiryo" w:eastAsia="Meiryo" w:hAnsi="Meiryo"/>
          <w:b/>
          <w:bCs/>
          <w:color w:val="B58A3A"/>
          <w:sz w:val="22"/>
          <w:szCs w:val="22"/>
        </w:rPr>
        <w:t xml:space="preserve">本資料：</w:t>
      </w:r>
      <w:r>
        <w:rPr>
          <w:rFonts w:ascii="Meiryo" w:cs="Meiryo" w:eastAsia="Meiryo" w:hAnsi="Meiryo"/>
          <w:b/>
          <w:bCs/>
          <w:color w:val="16314F"/>
          <w:sz w:val="24"/>
          <w:szCs w:val="24"/>
        </w:rPr>
        <w:t xml:space="preserve">講師台本（スライド対応・読み上げ／進行用）</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000"/>
        <w:gridCol w:w="6638"/>
      </w:tblGrid>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資料区分</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講師用台本（読み上げ・進行）</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対象スライド</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14_gifts_entertainment_anti_bribery_training_deck.pptx（全36枚）</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想定時間</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45〜55分（討議・演習追加で70〜80分）</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シリーズ</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第14回 接待・贈答・贈収賄防止研修</w:t>
            </w:r>
          </w:p>
        </w:tc>
      </w:tr>
    </w:tbl>
    <w:p>
      <w:pPr>
        <w:spacing w:after="140"/>
      </w:pPr>
      <w:r>
        <w:rPr>
          <w:rFonts w:ascii="Meiryo" w:cs="Meiryo" w:eastAsia="Meiryo" w:hAnsi="Meiryo"/>
          <w:sz w:val="8"/>
          <w:szCs w:val="8"/>
        </w:rPr>
        <w:t xml:space="preserve"/>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ご注意　</w:t>
      </w:r>
      <w:r>
        <w:rPr>
          <w:rFonts w:ascii="Meiryo" w:cs="Meiryo" w:eastAsia="Meiryo" w:hAnsi="Meiryo"/>
          <w:color w:val="222A30"/>
          <w:sz w:val="20"/>
          <w:szCs w:val="20"/>
        </w:rPr>
        <w:t xml:space="preserve">本資料は、自社規程・運用に合わせた追記・修正を前提とした研修用ひな形です。接待・贈答の可否、贈収賄該当性、利益相反、会計・税務処理の最終判断は、必ず自社の法務・コンプライアンス・経理等の所管部門にご確認ください。</w:t>
      </w:r>
    </w:p>
    <w:p>
      <w:pPr>
        <w:spacing w:before="40"/>
      </w:pPr>
      <w:r>
        <w:rPr>
          <w:rFonts w:ascii="Meiryo" w:cs="Meiryo" w:eastAsia="Meiryo" w:hAnsi="Meiryo"/>
          <w:color w:val="5B6B79"/>
          <w:sz w:val="19"/>
          <w:szCs w:val="19"/>
        </w:rPr>
        <w:t xml:space="preserve">法令・制度基準日：2026年6月18日</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進行にあたって</w:t>
      </w:r>
    </w:p>
    <w:p>
      <w:pPr>
        <w:spacing w:after="90" w:line="276"/>
      </w:pPr>
      <w:r>
        <w:rPr>
          <w:rFonts w:ascii="Meiryo" w:cs="Meiryo" w:eastAsia="Meiryo" w:hAnsi="Meiryo"/>
          <w:b w:val="false"/>
          <w:bCs w:val="false"/>
          <w:i w:val="false"/>
          <w:iCs w:val="false"/>
          <w:color w:val="222A30"/>
          <w:sz w:val="21"/>
          <w:szCs w:val="21"/>
        </w:rPr>
        <w:t xml:space="preserve">この研修は、接待・贈答を</w:t>
      </w:r>
      <w:r>
        <w:rPr>
          <w:rFonts w:ascii="Meiryo" w:cs="Meiryo" w:eastAsia="Meiryo" w:hAnsi="Meiryo"/>
          <w:b/>
          <w:bCs/>
          <w:i w:val="false"/>
          <w:iCs w:val="false"/>
          <w:color w:val="222A30"/>
          <w:sz w:val="21"/>
          <w:szCs w:val="21"/>
        </w:rPr>
        <w:t xml:space="preserve">一律に禁止する</w:t>
      </w:r>
      <w:r>
        <w:rPr>
          <w:rFonts w:ascii="Meiryo" w:cs="Meiryo" w:eastAsia="Meiryo" w:hAnsi="Meiryo"/>
          <w:b w:val="false"/>
          <w:bCs w:val="false"/>
          <w:i w:val="false"/>
          <w:iCs w:val="false"/>
          <w:color w:val="222A30"/>
          <w:sz w:val="21"/>
          <w:szCs w:val="21"/>
        </w:rPr>
        <w:t xml:space="preserve">ためのものではありません。相手方の属性・金額・タイミング・目的・頻度・見返り・記録可能性によってリスクが大きく変わることを理解し、</w:t>
      </w:r>
      <w:r>
        <w:rPr>
          <w:rFonts w:ascii="Meiryo" w:cs="Meiryo" w:eastAsia="Meiryo" w:hAnsi="Meiryo"/>
          <w:b/>
          <w:bCs/>
          <w:i w:val="false"/>
          <w:iCs w:val="false"/>
          <w:color w:val="16314F"/>
          <w:sz w:val="21"/>
          <w:szCs w:val="21"/>
        </w:rPr>
        <w:t xml:space="preserve">受ける前・渡す前に立ち止まって確認・相談・記録できる</w:t>
      </w:r>
      <w:r>
        <w:rPr>
          <w:rFonts w:ascii="Meiryo" w:cs="Meiryo" w:eastAsia="Meiryo" w:hAnsi="Meiryo"/>
          <w:b w:val="false"/>
          <w:bCs w:val="false"/>
          <w:i w:val="false"/>
          <w:iCs w:val="false"/>
          <w:color w:val="222A30"/>
          <w:sz w:val="21"/>
          <w:szCs w:val="21"/>
        </w:rPr>
        <w:t xml:space="preserve">状態を目指します。</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台本の前提（毎回触れる軸）</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一律禁止ではない。ただし金額だけで安全とは判断しない。</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公務員・外国公務員・国有企業関係者は、民間取引先以上に慎重に扱う。</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受ける側・渡す側の双方にリスクがある。発注側が事実上求めることも問題になり得る。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迷ったら受けない・渡さない・約束しない。隠さず・消さず・すぐ報告する。</w:t>
      </w:r>
    </w:p>
    <w:p>
      <w:pPr>
        <w:pStyle w:val="ListParagraph"/>
        <w:numPr>
          <w:ilvl w:val="0"/>
          <w:numId w:val="2"/>
        </w:numPr>
        <w:spacing w:after="60" w:line="264"/>
      </w:pPr>
      <w:r>
        <w:rPr>
          <w:rFonts w:ascii="Meiryo" w:cs="Meiryo" w:eastAsia="Meiryo" w:hAnsi="Meiryo"/>
          <w:b w:val="false"/>
          <w:bCs w:val="false"/>
          <w:i w:val="false"/>
          <w:iCs w:val="false"/>
          <w:color w:val="222A30"/>
          <w:sz w:val="21"/>
          <w:szCs w:val="21"/>
        </w:rPr>
        <w:t xml:space="preserve">贈収賄該当性・利益相反・会計／税務・懲戒・対外対応を現場で独断しない。</w:t>
      </w:r>
    </w:p>
    <w:p>
      <w:pPr>
        <w:pBdr>
          <w:top w:val="none" w:color="FFFFFF" w:sz="0"/>
          <w:bottom w:val="none" w:color="FFFFFF" w:sz="0"/>
          <w:left w:val="single" w:color="B42318" w:sz="22" w:space="6"/>
          <w:right w:val="none" w:color="FFFFFF" w:sz="0"/>
        </w:pBdr>
        <w:shd w:fill="FBECEA" w:color="auto" w:val="clear"/>
        <w:spacing w:after="120" w:before="80" w:line="268"/>
        <w:ind w:left="170" w:right="140"/>
      </w:pPr>
      <w:r>
        <w:rPr>
          <w:rFonts w:ascii="Meiryo" w:cs="Meiryo" w:eastAsia="Meiryo" w:hAnsi="Meiryo"/>
          <w:b/>
          <w:bCs/>
          <w:color w:val="B42318"/>
          <w:sz w:val="21"/>
          <w:szCs w:val="21"/>
        </w:rPr>
        <w:t xml:space="preserve">法的に断定しない　</w:t>
      </w:r>
      <w:r>
        <w:rPr>
          <w:rFonts w:ascii="Meiryo" w:cs="Meiryo" w:eastAsia="Meiryo" w:hAnsi="Meiryo"/>
          <w:color w:val="222A30"/>
          <w:sz w:val="20"/>
          <w:szCs w:val="20"/>
        </w:rPr>
        <w:t xml:space="preserve">講師は「これは違法／適法」「これは贈収賄に当たる／当たらない」と断定しないでください。本研修は行動の指針を示すものであり、個別事案の該当性判断は法務・コンプライアンス等の所管部門が行い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研修中に区別して伝える枠組み</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400"/>
        <w:gridCol w:w="6238"/>
      </w:tblGrid>
      <w:tr>
        <w:trPr>
          <w:tblHeader/>
        </w:trPr>
        <w:tc>
          <w:tcPr>
            <w:tcW w:type="dxa" w:w="3400"/>
            <w:tcBorders>
              <w:top w:val="single" w:color="D8E0E7" w:sz="4"/>
              <w:left w:val="single" w:color="D8E0E7" w:sz="4"/>
              <w:bottom w:val="single" w:color="D8E0E7" w:sz="4"/>
              <w:right w:val="single" w:color="D8E0E7" w:sz="4"/>
            </w:tcBorders>
            <w:shd w:fill="16314F" w:color="auto" w:val="clear"/>
            <w:tcMar>
              <w:top w:type="dxa" w:w="70"/>
              <w:left w:type="dxa" w:w="110"/>
              <w:bottom w:type="dxa" w:w="70"/>
              <w:right w:type="dxa" w:w="110"/>
            </w:tcMar>
            <w:vAlign w:val="center"/>
          </w:tcPr>
          <w:p>
            <w:pPr>
              <w:jc w:val="left"/>
            </w:pPr>
            <w:r>
              <w:rPr>
                <w:rFonts w:ascii="Meiryo" w:cs="Meiryo" w:eastAsia="Meiryo" w:hAnsi="Meiryo"/>
                <w:b/>
                <w:bCs/>
                <w:i w:val="false"/>
                <w:iCs w:val="false"/>
                <w:color w:val="FFFFFF"/>
                <w:sz w:val="20"/>
                <w:szCs w:val="20"/>
              </w:rPr>
              <w:t xml:space="preserve">枠組み</w:t>
            </w:r>
          </w:p>
        </w:tc>
        <w:tc>
          <w:tcPr>
            <w:tcW w:type="dxa" w:w="6238"/>
            <w:tcBorders>
              <w:top w:val="single" w:color="D8E0E7" w:sz="4"/>
              <w:left w:val="single" w:color="D8E0E7" w:sz="4"/>
              <w:bottom w:val="single" w:color="D8E0E7" w:sz="4"/>
              <w:right w:val="single" w:color="D8E0E7" w:sz="4"/>
            </w:tcBorders>
            <w:shd w:fill="16314F" w:color="auto" w:val="clear"/>
            <w:tcMar>
              <w:top w:type="dxa" w:w="70"/>
              <w:left w:type="dxa" w:w="110"/>
              <w:bottom w:type="dxa" w:w="70"/>
              <w:right w:type="dxa" w:w="110"/>
            </w:tcMar>
            <w:vAlign w:val="center"/>
          </w:tcPr>
          <w:p>
            <w:pPr>
              <w:jc w:val="left"/>
            </w:pPr>
            <w:r>
              <w:rPr>
                <w:rFonts w:ascii="Meiryo" w:cs="Meiryo" w:eastAsia="Meiryo" w:hAnsi="Meiryo"/>
                <w:b/>
                <w:bCs/>
                <w:i w:val="false"/>
                <w:iCs w:val="false"/>
                <w:color w:val="FFFFFF"/>
                <w:sz w:val="20"/>
                <w:szCs w:val="20"/>
              </w:rPr>
              <w:t xml:space="preserve">位置付け・伝え方</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刑法上の贈収賄</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公務員の職務に関する賄賂。要求・約束・申込み・提供の段階で問題になり得る。重大な刑事リスク。</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国家公務員倫理法・倫理規程</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公務員側のルール。利害関係者からの贈与・供応接待・遊技等の制限。相手の義務であり、自社の安全線ではない。</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不正競争防止法（外国公務員贈賄）</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国際商取引での外国公務員等への不正の利益供与。FP・代理店経由も対象になり得る。</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独占禁止法（優越的地位の濫用）</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発注側が取引上の地位を背景に協賛・購入等を求める問題。詳細は第16回。</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取適法（発注側コンプライアンス）</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発注者の義務。詳細・禁止行為は第17回。本研修は『求めない』の原則を扱う。</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利益相反・会社法</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判断の独立性への影響。副業・親族会社等の詳細は第15回。</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会計・税務・記録</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実態と異なる名目・分割・付替えの禁止。経費承認＝コンプラ適合ではない。</w:t>
            </w:r>
          </w:p>
        </w:tc>
      </w:tr>
      <w:tr>
        <w:tc>
          <w:tcPr>
            <w:tcW w:type="dxa" w:w="3400"/>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自社ルール</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金額基準・承認基準・台帳・相談窓口。最終的にはここに従う。</w:t>
            </w:r>
          </w:p>
        </w:tc>
      </w:tr>
    </w:tbl>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スライド別 講師台本</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　表紙　（0:30）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研修の主題と位置付けを示す。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本日は、接待・贈答・贈収賄防止の研修です。これは接待や贈答を一律に禁止するための時間ではなく、皆さんが現場で『受けてよいか・渡してよいか・断るべきか・記録すべきか・相談すべきか』を判断できるようになるための時間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まず本日のゴールを確認します。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　本日のゴール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到達目標を共有し、行動につなげる姿勢を示す。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今日のゴールは三つです。第一に、相手の属性・金額・タイミング・目的・頻度・見返りでリスクが変わると理解すること。第二に、受ける前・渡す前に承認・記録・相談ができること。第三に、公務員・外国公務員には特に慎重に対応すること。覚えて終わりではなく、迷ったときの行動を持ち帰って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皆さんの業務で、接待や贈答に接する場面はありますか。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営業の会食、取引先からの手土産、購買での選定、海外案件など。</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まず、具体的な場面から考えてみましょう。</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　導入ケース：この接待、受けてよいですか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自分ごととして考えさせ、結論より着眼点を意識させる。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契約更新の直前に、取引先から高級レストランの会食に誘われました。相手は『いつものお礼です』と言っています。さて、すぐに受けてよいでしょうか。結論を急ぐ前に、何が気になるかを考えてみて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このケースで、まず気になる点はどこですか。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契約交渉中であること、金額、第三者から見た疑念、記録の有無など。</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結論を出す前に、この研修の基本姿勢を確認します。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S4　接待・贈答研修は『一律禁止』ではない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過度な萎縮と、逆に軽視の両方を避ける。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接待・贈答そのものが禁止されているわけではありません。社会的儀礼として認められる範囲もあります。ただし『一律OK』でも『一律禁止』でもなく、相手・金額・タイミング・目的・頻度・見返り・記録可能性で判断するという考え方が大切です。」</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『少額だから必ず安全』『社交儀礼だから必ず安全』とは言えません。逆に『すべて禁止』と説明するのも誤りです。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では、どんなリスクがあるのかを整理します。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S5　接待・贈答の5大リスク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リスクの広がりを俯瞰させる。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接待・贈答には、大きく五つのリスクがあります。刑事リスク（贈収賄）、公務員倫理規程の違反を招くリスク、利益相反・取引の公正性へのリスク、優越的地位・取適法など発注側のリスク、そして会計・税務・レピュテーションのリスクです。これらは別々の枠組みですが、一つの接待が複数に関わることもありま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まず『受ける側』と『渡す側』の違いを見ます。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刑法上の贈収賄、倫理規程、不正競争防止法、独占禁止法・取適法、会計税務はそれぞれ別の枠組みです。混同しないよう区別して説明します。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S6　受ける側と渡す側の違い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双方にリスクがあることを理解させる。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接待・贈答は、受ける側にも渡す側にもリスクがあります。受ける側は判断の公正性や利益相反、渡す側は相手の規程違反を招くことや贈賄リスクが問題になります。『相手が用意したから受けるだけ』『渡すだけだから問題ない』とは言えません。」</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受ける側・渡す側で、それぞれ何が問題になりそうですか。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受ける側＝公正性・利益相反、渡す側＝相手の規程違反・贈賄リスク。</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次に、相手が誰かでリスクが変わることを見ます。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S7　相手方の属性でリスクは変わる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公務員／外国公務員／民間の3段階を意識させる。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最も重要なのが相手の属性です。大きく、国内公務員・みなし公務員、外国公務員・国有企業関係者、民間取引先の三つに分けて考えます。公務員・外国公務員は特に慎重に、民間でも『自由』ではありません。まず『相手は誰か』を確認する癖をつけて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皆さんの取引先に、公務員・みなし公務員・国有企業関係者はいますか。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許認可・補助金・公共案件・インフラ・海外の公的機関など。</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それぞれの枠組みを順に見ます。まず国内公務員です。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S8　公務員・みなし公務員への対応（刑法）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刑事リスクの重さを、構成要件論に深入りせず伝える。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公務員に対する金銭・物品・接待・便益の提供は、重大な刑事リスクになり得ます。『審査や許認可・入札・検査を有利にしてほしい』という趣旨があると特に危険です。実際に便宜が図られなくても、要求・約束・申込み・提供の段階で問題になり得ます。少額・慣習・手土産・相手の依頼・会社のため、という理由だけでは安全になりません。」</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公務員への手土産は『少額なら大丈夫』でしょうか。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金額だけでは判断できない。相手・趣旨・時期による。現場では独断しない。</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現場社員が『これは贈収賄に当たる／当たらない』と最終判断しないでください。該当性の判断は所管部門が行います。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公務員側にも、別のルールがあります。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刑法上の贈収賄（法令上のルール）の話です。次の倫理規程とは別の枠組みです。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S9　国家公務員倫理法・倫理規程の考え方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相手側の規制が自社の行動に影響することを理解させる。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国家公務員には、倫理法・倫理規程があります。利害関係者からの贈与や供応接待、利害関係者と一緒のゴルフ・旅行・遊技などが原則として制限されています。ここで大事なのは、自社が『問題ない』と思っても、提供すること自体が相手の倫理規程違反を招くおそれがある、という点です。割り勘・少額・同行・送迎でも問題になり得ま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割り勘なら、公務員と会食しても常に問題ないでしょうか。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割り勘でも状況により問題になり得る。利害関係・時期を確認し、原則は事前相談。</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海外の公務員については、また別の法律があります。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これは公務員側の倫理規程上のルールです。相手の基準であって、自社にとっての安全な線引きではありません。</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S10　外国公務員贈賄防止（不正競争防止法）　（2:30）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海外案件特有のリスクと厳罰化を伝える。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海外では、不正競争防止法により、国際商取引に関して外国公務員等へ不正の利益を供与する行為が問題になります。外国公務員には、外国政府・地方政府の職員に加え、国有企業・公的企業の関係者なども広く含まれ得ます。近年、罰則は強化されており、個人・法人いずれにとっても重いリスクです。現地の慣習・少額・手続迅速化を理由に、現場で判断してはいけません。」</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『外国公務員』とは、具体的に誰を指すと思いますか。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外国政府・地方政府の職員、国有企業・公的企業関係者、国際機関関係者など。広く捉える。</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外国公務員該当性・贈賄該当性を現場で独断しないでください。範囲は広く、判断は本社法務・コンプライアンスに委ねます。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海外では、代理店経由やファシリテーションペイメントにも注意が必要です。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経済産業省の外国公務員贈賄防止指針があり、社交儀礼や緊急避難に関する考え方も示されています。詳細は所管部門に確認してください。</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S11　海外案件・代理店・ファシリテーションペイメント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第三者経由・FPのリスクを具体化する。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海外案件では、代理店・コンサルタント・販売店・通関業者・現地パートナー、あるいは寄附・スポンサー・視察旅行・研修招待を経由した提供もリスクになります。手続を早めるための少額の支払、いわゆるファシリテーションペイメントも、少額・現地慣行だからといって安全とは限りません。第三者経由・現金支払・不明確な手数料・過大な成功報酬・領収書のない支払には特に注意して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代理店経由なら、自社は責任を負わないと言えますか。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言えない。第三者経由でも自社の責任になり得る。デューデリと支払承認が必要。</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ここまでは公務員・外国公務員でした。民間取引先はどうでしょうか。</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ファシリテーションペイメントの取扱いは、自社の腐敗防止ポリシーや指針で確認してください。『少額なら常に可』と説明してはいけません。</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S12　民間取引先との接待・贈答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『民間だから自由』という誤解を解く。</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民間取引先との接待・贈答は、直ちに刑法上の贈収賄になるとは限りません。ただし、社内規程違反、相手方規程違反、利益相反、選定・検収の公正性への疑念、リベート・キックバック・背任、会計・税務、優越的地位、反社リスクなど、別のリスクがあります。発注先・選定中の相手・検収中の相手からの接待・贈答は特に高リスクです。記録に残せない接待・贈答は、原則として行わないで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『民間だから接待は自由』は正しいですか。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正しくない。刑事以外にも多くのリスクがある。記録できないものは原則行わない。</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民間取引先との接待を『必ず刑法上の贈収賄だ』と断定するのも誤りです。リスクの種類を区別して説明してください。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特にリスクが高いのが、購買・調達・発注の場面です。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S13　購買・調達・発注担当者の注意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選定・検収に関わる立場の特別な注意を示す。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発注・選定・価格交渉・検収・支払に関わる方は、特に慎重に判断してください。自分が関与する相手からの接待・贈答は、原則として辞退します。逆に、取引先へ接待・贈答・協賛・購入・無償役務を『お願い』することも問題です。相手が断りにくい立場であれば、なおさらです。接待・贈答を、契約更新・発注量・検収・支払・価格交渉と結びつけないで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購買担当が選定中の候補先からチケットをもらうのは？</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原則辞退。使わなければもったいない、は理由にならない。報告・相談する。</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この点は、優越的地位・取適法と接続します。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発注側が求める問題は、優越的地位の濫用（独占禁止法・第16回）や取適法（第17回）に接続します。本研修では『求めない』の原則を押さえます。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S14　優越的地位・取適法との接続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発注側コンプライアンスの観点を最小限で示す。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発注者が取引上の立場を背景に、接待・贈答・協賛・購入・寄附・無償役務・イベント参加などを事実上求めることは、不公正な取引や優越的地位の濫用、取適法上の問題につながり得ます。取引先からの『自主的な申出』に見えても、発注者の立場や継続取引への期待が影響している場合があります。詳しい条文・禁止行為は第17回で扱いますが、原則は『発注側が求めない』で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接待・贈答は、判断の独立性、つまり利益相反にも関わります。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優越的地位の濫用の詳細は第16回、取適法の禁止行為の詳細は第17回で扱います。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S15　利益相反との接続（詳細は第15回）　（1:00）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利益相反への入り口を示しつつ、本回の範囲を限定する。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接待・贈答が、取引判断や選定の公正性に影響する場合、利益相反の問題になります。本人にそのつもりがなくても、第三者から疑念を持たれることがあります。取引先との個人的関係、家族への便益、繰り返しの接待・贈答は、申告・相談が必要です。副業・親族会社・株式保有・役員の利益相反などの詳細は、第15回で扱いま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ここからは、リスクが特に高い『もの』を見ていきます。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利益相反の網羅的な整理（副業・親族会社・個人的関係・兼職・株式保有・競業・役員利益相反）は第15回です。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S16　現金・金券・商品券・電子マネー・ポイント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換金性の高い便益の高リスク性を示す。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現金、金券、商品券、電子マネー、ポイントは、換金性が高く、原則として高リスクです。少額でも、相手・時期・趣旨によっては重大な問題になります。受け取らない・渡さないのが原則で、受け取ってしまった場合は使用・換金せず、すぐ報告し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次は、会食や手土産など、日常的に接する贈答です。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S17　会食・手土産・祝儀・香典・謝礼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日常的な儀礼でも注意点があることを示す。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会食・手土産・祝儀・香典・謝礼は、社会的儀礼として認められる範囲もあります。ただし、相手が公務員・外国公務員なら原則として慎重に、民間でも金額・頻度・時期・相手方規程に注意が必要です。特に、自社規程内でも相手方の規程で受領が禁止されている場合があるため、贈る前の確認が大切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自社から取引先へ贈答品を送るとき、何を確認しますか。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相手方規程の受領可否、金額・目的・タイミング、記録できるか。</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次は、特に高額になりやすい接待です。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S18　ゴルフ・旅行・チケット・宿泊・交通費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高額・個人的便益のリスクを示す。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ゴルフ、旅行、チケット、宿泊、交通費の負担は、金額が大きくなりやすく、個人的便益の性格も強いため、高リスクです。公務員と一緒のゴルフ・旅行は倫理規程上の問題に直結します。民間でも、選定・検収・交渉中の相手とのこうした便益は、公正性への疑念を招きます。原則として事前承認・記録、迷えば相談で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次は、形を変えた提供として注意すべきものです。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S19　寄附・スポンサー・視察招待・研修旅行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正当に見える形式の中のリスクを示す。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寄附・スポンサー・視察招待・研修旅行は、一見正当な活動に見えますが、相手が公務員・外国公務員の場合や、選定・許認可と結びつく場合は、利益供与の迂回になり得ます。名目が立派でも、実態とタイミング、相手の属性を確認してください。海外では特に注意が必要で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次は、最も避けるべき類型です。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S20　リベート・キックバック・不明確な手数料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明確に高リスクな類型を示す。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リベート、キックバック、不明確な手数料は、背任・横領・不正会計・贈賄につながる、明確に高リスクな類型です。取引先担当者個人への謝礼を求められても、『会社のため』『相手が求めた』は理由になりません。代理店経由の不明確な成功報酬、領収書のない支払も同様です。気づいたら、隠さず・消さず・すぐ報告してください。」</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取引先担当者個人から『謝礼が欲しい』と言われたら？</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支払わない。会社のためでも不可。事実を記録し、報告・相談する。</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ここからは、判断の軸を整理します。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S21　金額だけで安全とは判断しない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金額基準の限界を理解させる。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社内規程の金額基準は重要ですが、金額さえ収まれば安全、というわけではありません。相手が公務員か、選定・許認可と結びついていないか、相手方規程に反していないか、記録できるか——金額以外の要素も必ず確認してください。」</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『少額だから安全』『社交儀礼だから安全』という説明はしないでください。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金額以外の軸を具体化します。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S22　タイミング・目的・頻度・見返りで判断する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金額以外の判断軸を定着させる。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見るべきは、タイミング、目的、頻度、見返りの有無です。契約交渉・選定・検収・許認可の前後か。便宜を期待していないか。同じ相手から繰り返し受けていないか。見返りを匂わせていないか。これらに引っかかるなら、金額が小さくても立ち止まっ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では、立ち止まったあと、何をするか。チェックの流れです。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S23　受ける前・渡す前チェック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4区分（受ける／渡す／公務員／購買）の使い方を示す。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配布したチェックリストには、受ける前・渡す前・公務員外国公務員対応・購買担当の4区分があります。受ける前は相手・取引状況・内容・記録可能性を、渡す前は相手の属性・タイミング・記録・承認を確認します。チェックが付かない項目が一つでもあれば、進める前に相談し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確認したら、申請・承認・記録の流れに乗せます。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S24　申請・承認・記録の基本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記録と承認の重要性を行動に落とす。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接待・贈答は、原則として事前に申請し、承認を得て、記録に残します。相手・目的・日時・場所・金額・同席者・内容を正確に記録し、領収書・招待状・メール・承認記録を保存します。実態と異なる名目での経費処理、分割・付替え・架空名目による隠蔽は絶対にしないでください。経費承認が通ったことと、コンプライアンス上許されることは別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経費承認が通れば、コンプライアンス上も問題ないですか。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別問題。承認＝適合ではない。名目と実態を一致させ、記録を残す。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受けたくない・断りたいときの対応です。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記録の様式は『記録・承認・辞退・不正疑い初動ツールキット』を使ってください。</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S25　断る・返却する・相談する　（2:00）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辞退・返却・相談の具体手順を示す。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受領前なら、その場で丁寧に辞退します。理由は相手個人への非難ではなく、自社規程・コンプライアンス方針にします。受領後に気づいたら、開封・使用・転売・配布をせず、すぐ報告します。返却・寄附・保管・廃棄は会社として判断します。一人で謝罪・約束・返金・代替提案をしないでください。テンプレート文面を用意していま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取引先からゴルフに誘われたら、どう断りますか。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自社方針を理由に丁寧に辞退。判断に迷えば事前に上長・法務へ相談。</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それでも問題が起きたときの初動です。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S26　不適切な接待・贈答に気づいたときの初動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『隠さず・消さず・すぐ報告』を徹底する。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不適切な接待・贈答、またはそのおそれに気づいたら、隠さず・消さず・すぐ報告が原則です。証拠の削除や改変、報告の先送りは事態を悪化させます。受け取ってしまった後に気づいた場合も、同じです。早く報告するほど、会社として適切に対応できま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受け取った後に問題だと気づいたら、まず何をしますか。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使用せず保全し、すぐ上長・法務へ報告。隠さない・消さない。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報告とあわせて、証拠の保全が重要です。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S27　証拠保全と報告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保全すべきものと報告の流れを示す。</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保全すべきは、メール、チャット、招待状、領収書、写真、承認記録などです。これらを残したうえで、初動記録シートに事実を記入し、報告先へ共有します。報告先や手順は自社の内部通報・コンプライアンス規程に従っ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ここからは、具体的なケースで練習します。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営業秘密・機密情報そのものの管理は第13回で扱います。本回は接待・贈答に関する記録・保全に絞ります。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S28　ケース1：取引先からの高額接待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ケースで判断軸を実践する。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「契約更新直前、交渉中の取引先からの高級会食。受ける前に立ち止まり、時期・金額・記録を確認し、相談する場面です。」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このケースで、受けてよい／渡してよいか、誰に相談し、何を記録すべきか。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受ける側／民間取引先／利益相反・公正性。事前承認・記録・相談が必要。</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結論を一つに断定せず、着眼点・相談・記録を引き出してください。該当性の最終判断は所管部門です。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次は公務員のケースです。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S29　ケース2：公務員への手土産・会食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ケースで判断軸を実践する。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「許認可申請中の公務員への手土産・会食。少額でも問題になり得る、原則は提供しない・誘わない・事前相談の場面です。」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このケースで、受けてよい／渡してよいか、誰に相談し、何を記録すべきか。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渡す側／公務員／刑法・倫理規程。原則提供しない。事前相談。</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結論を一つに断定せず、着眼点・相談・記録を引き出してください。該当性の最終判断は所管部門です。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次は海外のケースです。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S30　ケース3：海外での手続迅速化支払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ケースで判断軸を実践する。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「通関を早めるための少額支払を現地職員から求められる。『現地では普通』でも安全ではない、本社相談の場面です。」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このケースで、受けてよい／渡してよいか、誰に相談し、何を記録すべきか。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渡す側／外国公務員／不正競争防止法・FP。現場判断せず本社相談。</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結論を一つに断定せず、着眼点・相談・記録を引き出してください。該当性の最終判断は所管部門です。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次は購買のケースです。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S31　ケース4：購買担当者へのチケット提供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ケースで判断軸を実践する。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「選定最終段階の候補先から購買担当へチケット。『もったいない』は理由にならない、辞退・報告の場面です。」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このケースで、受けてよい／渡してよいか、誰に相談し、何を記録すべきか。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受ける側／民間（選定中）／利益相反。辞退・記録・相談。</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結論を一つに断定せず、着眼点・相談・記録を引き出してください。該当性の最終判断は所管部門です。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次は発注側が求めるケースです。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S32　ケース5：発注先への協賛要請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ケースで判断軸を実践する。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「発注担当が委託先に協賛・景品を『お願い』。断りにくい相手への事実上の要請は問題、求めない場面です。」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このケースで、受けてよい／渡してよいか、誰に相談し、何を記録すべきか。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求める側／委託先／優越的地位・取適法。要請を取り下げる。</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結論を一つに断定せず、着眼点・相談・記録を引き出してください。該当性の最終判断は所管部門です。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次は代理店経由のケースです。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S33　ケース6：代理店経由の不明確な成功報酬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ケースで判断軸を実践する。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「『政府関係者調整』名目の高額・領収書なしの成功報酬。迂回贈賄の疑い、支払保留・本社相談の場面です。」</w:t>
      </w:r>
    </w:p>
    <w:p>
      <w:pPr>
        <w:spacing w:after="40" w:line="276"/>
      </w:pPr>
      <w:r>
        <w:rPr>
          <w:rFonts w:ascii="Meiryo" w:cs="Meiryo" w:eastAsia="Meiryo" w:hAnsi="Meiryo"/>
          <w:b/>
          <w:bCs/>
          <w:i w:val="false"/>
          <w:iCs w:val="false"/>
          <w:color w:val="B58A3A"/>
          <w:sz w:val="19"/>
          <w:szCs w:val="19"/>
        </w:rPr>
        <w:t xml:space="preserve">問い：</w:t>
      </w:r>
      <w:r>
        <w:rPr>
          <w:rFonts w:ascii="Meiryo" w:cs="Meiryo" w:eastAsia="Meiryo" w:hAnsi="Meiryo"/>
          <w:b w:val="false"/>
          <w:bCs w:val="false"/>
          <w:i w:val="false"/>
          <w:iCs w:val="false"/>
          <w:color w:val="222A30"/>
          <w:sz w:val="19"/>
          <w:szCs w:val="19"/>
        </w:rPr>
        <w:t xml:space="preserve">このケースで、受けてよい／渡してよいか、誰に相談し、何を記録すべきか。</w:t>
      </w:r>
    </w:p>
    <w:p>
      <w:pPr>
        <w:spacing w:after="40" w:line="276"/>
      </w:pPr>
      <w:r>
        <w:rPr>
          <w:rFonts w:ascii="Meiryo" w:cs="Meiryo" w:eastAsia="Meiryo" w:hAnsi="Meiryo"/>
          <w:b/>
          <w:bCs/>
          <w:i w:val="false"/>
          <w:iCs w:val="false"/>
          <w:color w:val="5B6B79"/>
          <w:sz w:val="19"/>
          <w:szCs w:val="19"/>
        </w:rPr>
        <w:t xml:space="preserve">想定回答：</w:t>
      </w:r>
      <w:r>
        <w:rPr>
          <w:rFonts w:ascii="Meiryo" w:cs="Meiryo" w:eastAsia="Meiryo" w:hAnsi="Meiryo"/>
          <w:b w:val="false"/>
          <w:bCs w:val="false"/>
          <w:i w:val="false"/>
          <w:iCs w:val="false"/>
          <w:color w:val="5B6B79"/>
          <w:sz w:val="19"/>
          <w:szCs w:val="19"/>
        </w:rPr>
        <w:t xml:space="preserve">渡す側（第三者経由）／外国公務員／迂回支払。支払保留・デューデリ。</w:t>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注意　</w:t>
      </w:r>
      <w:r>
        <w:rPr>
          <w:rFonts w:ascii="Meiryo" w:cs="Meiryo" w:eastAsia="Meiryo" w:hAnsi="Meiryo"/>
          <w:color w:val="222A30"/>
          <w:sz w:val="20"/>
          <w:szCs w:val="20"/>
        </w:rPr>
        <w:t xml:space="preserve">結論を一つに断定せず、着眼点・相談・記録を引き出してください。該当性の最終判断は所管部門です。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ケースを踏まえ、日常の行動に落とします。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S34　日常行動チェックリスト　（1:00）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毎日の行動指針として要約する。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毎日意識してほしいのは、受ける前・渡す前に止まること、相手の属性を確認すること、購買・選定・許認可の場面では特に慎重になること、換金性の高いものや高額なものは高リスクと扱うこと、迷ったら受けない・渡さない・相談すること、そして記録することです。」</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最後に、行動原則と相談先を確認します。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S35　行動原則・自社相談先　（1:30）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相談先を明確にし、独断を防ぐ。</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迷ったら、一人で抱えずに相談してください。上長、法務・コンプライアンス、購買・調達、海外事業、経理・税務、内部通報窓口——状況に応じた相談先があります。スライドの相談先欄は自社の窓口に置き換えてあります。確認して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最後に、確認テストの案内です。</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贈収賄該当性・利益相反・会計／税務・懲戒・対外対応は、現場で独断しないでください。</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S36　確認テスト案内・終了　（1:00）</w:t>
      </w:r>
    </w:p>
    <w:p>
      <w:pPr>
        <w:spacing w:after="50" w:line="276"/>
      </w:pPr>
      <w:r>
        <w:rPr>
          <w:rFonts w:ascii="Meiryo" w:cs="Meiryo" w:eastAsia="Meiryo" w:hAnsi="Meiryo"/>
          <w:b/>
          <w:bCs/>
          <w:i w:val="false"/>
          <w:iCs w:val="false"/>
          <w:color w:val="237A75"/>
          <w:sz w:val="19"/>
          <w:szCs w:val="19"/>
        </w:rPr>
        <w:t xml:space="preserve">目的：</w:t>
      </w:r>
      <w:r>
        <w:rPr>
          <w:rFonts w:ascii="Meiryo" w:cs="Meiryo" w:eastAsia="Meiryo" w:hAnsi="Meiryo"/>
          <w:b w:val="false"/>
          <w:bCs w:val="false"/>
          <w:i w:val="false"/>
          <w:iCs w:val="false"/>
          <w:color w:val="222A30"/>
          <w:sz w:val="19"/>
          <w:szCs w:val="19"/>
        </w:rPr>
        <w:t xml:space="preserve">確認テストへ接続し、研修を締める。</w:t>
      </w:r>
    </w:p>
    <w:p>
      <w:pPr>
        <w:spacing w:after="30" w:line="276"/>
      </w:pPr>
      <w:r>
        <w:rPr>
          <w:rFonts w:ascii="Meiryo" w:cs="Meiryo" w:eastAsia="Meiryo" w:hAnsi="Meiryo"/>
          <w:b/>
          <w:bCs/>
          <w:i w:val="false"/>
          <w:iCs w:val="false"/>
          <w:color w:val="16314F"/>
          <w:sz w:val="19"/>
          <w:szCs w:val="19"/>
        </w:rPr>
        <w:t xml:space="preserve">話す内容：</w:t>
      </w:r>
    </w:p>
    <w:p>
      <w:pPr>
        <w:pBdr>
          <w:left w:val="single" w:color="16314F" w:sz="14" w:space="8"/>
        </w:pBdr>
        <w:shd w:fill="F4F6F8" w:color="auto" w:val="clear"/>
        <w:spacing w:after="60" w:line="272"/>
        <w:ind w:left="180" w:right="140"/>
      </w:pPr>
      <w:r>
        <w:rPr>
          <w:rFonts w:ascii="Meiryo" w:cs="Meiryo" w:eastAsia="Meiryo" w:hAnsi="Meiryo"/>
          <w:color w:val="222A30"/>
          <w:sz w:val="20"/>
          <w:szCs w:val="20"/>
        </w:rPr>
        <w:t xml:space="preserve">「このあと、全12問の確認テストに取り組んでいただきます。暗記ではなく、具体的な場面で受けてよいか・渡してよいか・断るべきか・承認や記録・相談が必要かを判断する問題です。今日の研修だけで贈収賄防止体制が完成するわけではありません。日々の業務で、止まって・確認して・相談する習慣を続けてください。お疲れさまでした。」</w:t>
      </w:r>
    </w:p>
    <w:p>
      <w:pPr>
        <w:spacing w:after="120" w:line="276"/>
      </w:pPr>
      <w:r>
        <w:rPr>
          <w:rFonts w:ascii="Meiryo" w:cs="Meiryo" w:eastAsia="Meiryo" w:hAnsi="Meiryo"/>
          <w:b/>
          <w:bCs/>
          <w:i w:val="false"/>
          <w:iCs w:val="false"/>
          <w:color w:val="237A75"/>
          <w:sz w:val="18"/>
          <w:szCs w:val="18"/>
        </w:rPr>
        <w:t xml:space="preserve">つなぎ：</w:t>
      </w:r>
      <w:r>
        <w:rPr>
          <w:rFonts w:ascii="Meiryo" w:cs="Meiryo" w:eastAsia="Meiryo" w:hAnsi="Meiryo"/>
          <w:b w:val="false"/>
          <w:bCs w:val="false"/>
          <w:i w:val="false"/>
          <w:iCs w:val="false"/>
          <w:color w:val="5B6B79"/>
          <w:sz w:val="18"/>
          <w:szCs w:val="18"/>
        </w:rPr>
        <w:t xml:space="preserve">この研修だけで体制が完成するとは説明しないでください。継続的な確認・相談・記録が前提です。</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想定質問と回答（15問以上）</w:t>
      </w:r>
    </w:p>
    <w:p>
      <w:pPr>
        <w:spacing w:after="90" w:line="276"/>
      </w:pPr>
      <w:r>
        <w:rPr>
          <w:rFonts w:ascii="Meiryo" w:cs="Meiryo" w:eastAsia="Meiryo" w:hAnsi="Meiryo"/>
          <w:b w:val="false"/>
          <w:bCs w:val="false"/>
          <w:i w:val="false"/>
          <w:iCs w:val="false"/>
          <w:color w:val="222A30"/>
          <w:sz w:val="21"/>
          <w:szCs w:val="21"/>
        </w:rPr>
        <w:t xml:space="preserve">いずれも</w:t>
      </w:r>
      <w:r>
        <w:rPr>
          <w:rFonts w:ascii="Meiryo" w:cs="Meiryo" w:eastAsia="Meiryo" w:hAnsi="Meiryo"/>
          <w:b/>
          <w:bCs/>
          <w:i w:val="false"/>
          <w:iCs w:val="false"/>
          <w:color w:val="16314F"/>
          <w:sz w:val="21"/>
          <w:szCs w:val="21"/>
        </w:rPr>
        <w:t xml:space="preserve">断定を避け、行動（確認・相談・記録）に落とす</w:t>
      </w:r>
      <w:r>
        <w:rPr>
          <w:rFonts w:ascii="Meiryo" w:cs="Meiryo" w:eastAsia="Meiryo" w:hAnsi="Meiryo"/>
          <w:b w:val="false"/>
          <w:bCs w:val="false"/>
          <w:i w:val="false"/>
          <w:iCs w:val="false"/>
          <w:color w:val="222A30"/>
          <w:sz w:val="21"/>
          <w:szCs w:val="21"/>
        </w:rPr>
        <w:t xml:space="preserve">ことを基本にしてください。</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接待や贈答はすべて禁止ですか。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いいえ。一律禁止ではありません。社会的儀礼の範囲もあります。ただし相手・金額・タイミング・目的・頻度・見返り・記録可能性で判断し、迷えば相談してください。</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少額なら受け取ってよいですか。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金額だけでは判断できません。少額でも、相手が公務員か、選定・許認可と結びついていないか、相手方規程に反していないかを確認します。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手土産なら問題ありませんか。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相手や時期によります。許認可申請中の公務員への手土産などは、少額でも問題になり得ます。原則は事前確認・相談です。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割り勘なら公務員と会食してもよいですか。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割り勘でも常に安全とは言えません。利害関係や時期によっては倫理規程上の問題になり得ます。原則として事前に相談してください。</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公務員と民間取引先で何が違いますか。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公務員は刑法上の贈収賄や倫理規程の問題に直結します。民間は直ちに刑事になるとは限りませんが、利益相反・規程違反・会計など別のリスクがあります。いずれも『自由』ではありません。</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外国公務員とは誰を指しますか。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外国政府・地方政府の職員に加え、国有企業・公的企業の関係者や国際機関関係者なども広く含まれ得ます。範囲は広く、該当性は現場で独断せず所管部門に確認します。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海外では現地慣行に従ってよいですか。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現地慣行を理由に独断してはいけません。不正競争防止法や自社の腐敗防止ポリシーに照らし、本社法務・コンプライアンスに相談してください。</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ファシリテーションペイメントは少額ならよいですか。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少額・現地慣行でも安全とは限りません。取扱いは自社ポリシー・指針に従い、求められた事実を記録して相談してください。</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取引先からゴルフに誘われたらどうしますか。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金額が大きくなりやすく高リスクです。選定・交渉中なら特に慎重に。自社方針を理由に丁寧に辞退し、迷えば事前に相談します。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購買担当者が取引先からチケットをもらったらどうしますか。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原則辞退です。受領済みなら使用せず保管し、上長・購買部門・法務へ報告。返却等は会社として判断します。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自社から取引先へ贈答品を送る場合、何を確認しますか。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相手方の受領可否（規程）、金額・目的・タイミング、記録できるかを確認します。自社規程内でも相手方が受領禁止のことがあります。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相手方規程はなぜ確認する必要がありますか。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自社規程内でも、相手方の規程で受領が禁止されている場合があるためです。確認せず送ると、相手の規程違反や関係悪化を招きます。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発注先にイベント協賛をお願いしてよいですか。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原則として求めないでください。発注者の立場を背景にした要請は、優越的地位の濫用・取適法上の問題につながり得ます。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代理店から高額な成功報酬を求められたらどうしますか。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業務内容・支払先が不明確、領収書なしは危険信号です。支払を保留し、第三者デューデリと支払承認を行い、本社法務へ相談します。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受け取ってしまった後に問題だと気づいたらどうしますか。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隠さず・消さず・すぐ報告してください。使用・転売・配布をせず保全し、初動記録シートに記入して相談します。</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経費承認が通ればコンプライアンス上も問題ありませんか。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別問題です。経費が通っても、相手・趣旨・記録の観点で問題が残ることがあります。名目と実態を一致させてください。</w:t>
      </w:r>
    </w:p>
    <w:p>
      <w:pPr>
        <w:spacing w:after="30" w:line="276"/>
      </w:pPr>
      <w:r>
        <w:rPr>
          <w:rFonts w:ascii="Meiryo" w:cs="Meiryo" w:eastAsia="Meiryo" w:hAnsi="Meiryo"/>
          <w:b/>
          <w:bCs/>
          <w:i w:val="false"/>
          <w:iCs w:val="false"/>
          <w:color w:val="B58A3A"/>
          <w:sz w:val="21"/>
          <w:szCs w:val="21"/>
        </w:rPr>
        <w:t xml:space="preserve">Q. </w:t>
      </w:r>
      <w:r>
        <w:rPr>
          <w:rFonts w:ascii="Meiryo" w:cs="Meiryo" w:eastAsia="Meiryo" w:hAnsi="Meiryo"/>
          <w:b/>
          <w:bCs/>
          <w:i w:val="false"/>
          <w:iCs w:val="false"/>
          <w:color w:val="16314F"/>
          <w:sz w:val="21"/>
          <w:szCs w:val="21"/>
        </w:rPr>
        <w:t xml:space="preserve">AIに贈収賄かどうか聞いて判断してよいですか。</w:t>
      </w:r>
    </w:p>
    <w:p>
      <w:pPr>
        <w:spacing w:after="120" w:line="276"/>
      </w:pPr>
      <w:r>
        <w:rPr>
          <w:rFonts w:ascii="Meiryo" w:cs="Meiryo" w:eastAsia="Meiryo" w:hAnsi="Meiryo"/>
          <w:b/>
          <w:bCs/>
          <w:i w:val="false"/>
          <w:iCs w:val="false"/>
          <w:color w:val="237A75"/>
          <w:sz w:val="21"/>
          <w:szCs w:val="21"/>
        </w:rPr>
        <w:t xml:space="preserve">A. </w:t>
      </w:r>
      <w:r>
        <w:rPr>
          <w:rFonts w:ascii="Meiryo" w:cs="Meiryo" w:eastAsia="Meiryo" w:hAnsi="Meiryo"/>
          <w:b w:val="false"/>
          <w:bCs w:val="false"/>
          <w:i w:val="false"/>
          <w:iCs w:val="false"/>
          <w:color w:val="222A30"/>
          <w:sz w:val="21"/>
          <w:szCs w:val="21"/>
        </w:rPr>
        <w:t xml:space="preserve">AIに最終判断を委ねてはいけません。事実整理や相談メモの作成に使うことはできますが、匿名加工・自社承認環境・人による確認が前提で、該当性の判断は所管部門が行います。</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70〜80分へ拡張する方法</w:t>
      </w:r>
    </w:p>
    <w:p>
      <w:pPr>
        <w:spacing w:after="90" w:line="276"/>
      </w:pPr>
      <w:r>
        <w:rPr>
          <w:rFonts w:ascii="Meiryo" w:cs="Meiryo" w:eastAsia="Meiryo" w:hAnsi="Meiryo"/>
          <w:b w:val="false"/>
          <w:bCs w:val="false"/>
          <w:i w:val="false"/>
          <w:iCs w:val="false"/>
          <w:color w:val="222A30"/>
          <w:sz w:val="21"/>
          <w:szCs w:val="21"/>
        </w:rPr>
        <w:t xml:space="preserve">標準は45〜55分です。次のいずれかを追加すると、70〜80分の研修になります。</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A. ケース討議の追加（+15〜20分）</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ケースワークブックから自部門に近い2〜3ケースを選ぶ。</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4〜6名のグループで、受ける／渡す・相手の属性・必要な行動・相談先・記録を5分で整理。</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各グループ2分で発表。講師は『結論』より着眼点・相談・記録を講評する。</w:t>
      </w:r>
    </w:p>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B. 接待・贈答申請書演習の追加（+15〜20分）</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ツールキット第1部の申請・記録シートを配布。</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各自、直近または想定の事例で申請・記録シートを記入（10分）。</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公務員・外国公務員・国有企業関係者の可能性、相手方規程確認、承認要否の欄を重点確認。</w:t>
      </w:r>
    </w:p>
    <w:p>
      <w:pPr>
        <w:pStyle w:val="ListParagraph"/>
        <w:numPr>
          <w:ilvl w:val="0"/>
          <w:numId w:val="3"/>
        </w:numPr>
        <w:spacing w:after="60" w:line="264"/>
      </w:pPr>
      <w:r>
        <w:rPr>
          <w:rFonts w:ascii="Meiryo" w:cs="Meiryo" w:eastAsia="Meiryo" w:hAnsi="Meiryo"/>
          <w:b w:val="false"/>
          <w:bCs w:val="false"/>
          <w:i w:val="false"/>
          <w:iCs w:val="false"/>
          <w:color w:val="222A30"/>
          <w:sz w:val="21"/>
          <w:szCs w:val="21"/>
        </w:rPr>
        <w:t xml:space="preserve">記入の難しかった点を共有し、自社の金額基準・承認フロー・相談窓口を案内する。</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いずれの場合も、具体的な相手名・案件名・機密情報を演習に持ち込まないよう注意し、匿名化してください。法令・制度基準日：2026年6月18日。</w:t>
      </w:r>
    </w:p>
    <w:sectPr>
      <w:footerReference w:type="default" r:id="rId7"/>
      <w:pgSz w:w="11906" w:h="16838" w:orient="portrait"/>
      <w:pgMar w:top="1134" w:right="1134" w:bottom="1100"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7" w:sz="4" w:space="4"/>
      </w:pBdr>
      <w:tabs>
        <w:tab w:val="right" w:pos="9638"/>
      </w:tabs>
    </w:pPr>
    <w:r>
      <w:rPr>
        <w:rFonts w:ascii="Meiryo" w:cs="Meiryo" w:eastAsia="Meiryo" w:hAnsi="Meiryo"/>
        <w:color w:val="5B6B79"/>
        <w:sz w:val="16"/>
        <w:szCs w:val="16"/>
      </w:rPr>
      <w:t xml:space="preserve">Legal GPT｜法務・総務のための社内研修資料20選　第14回 接待・贈答・贈収賄防止研修</w:t>
    </w:r>
    <w:r>
      <w:rPr>
        <w:rFonts w:ascii="Meiryo" w:cs="Meiryo" w:eastAsia="Meiryo" w:hAnsi="Meiryo"/>
      </w:rPr>
      <w:t xml:space="preserve">	</w:t>
    </w:r>
    <w:r>
      <w:rPr>
        <w:rFonts w:ascii="Meiryo" w:cs="Meiryo" w:eastAsia="Meiryo" w:hAnsi="Meiryo"/>
        <w:color w:val="5B6B79"/>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B58A3A"/>
      </w:rPr>
    </w:lvl>
    <w:lvl w:ilvl="1" w15:tentative="1">
      <w:start w:val="1"/>
      <w:numFmt w:val="bullet"/>
      <w:lvlText w:val="–"/>
      <w:lvlJc w:val="left"/>
      <w:pPr>
        <w:ind w:left="760" w:hanging="24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decimal"/>
      <w:lvlText w:val="%1."/>
      <w:lvlJc w:val="left"/>
      <w:pPr>
        <w:ind w:left="460" w:hanging="300"/>
      </w:pPr>
      <w:rPr>
        <w:b/>
        <w:bCs/>
        <w:color w:val="237A75"/>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22A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接待・贈答・贈収賄防止研修 講師台本</dc:title>
  <dc:creator>Legal GPT</dc:creator>
  <dc:description>接待・贈答・贈収賄防止研修 講師台本</dc:description>
  <cp:lastModifiedBy>Un-named</cp:lastModifiedBy>
  <cp:revision>1</cp:revision>
  <dcterms:created xsi:type="dcterms:W3CDTF">2026-06-23T01:40:50.178Z</dcterms:created>
  <dcterms:modified xsi:type="dcterms:W3CDTF">2026-06-23T01:40:50.178Z</dcterms:modified>
</cp:coreProperties>
</file>

<file path=docProps/custom.xml><?xml version="1.0" encoding="utf-8"?>
<Properties xmlns="http://schemas.openxmlformats.org/officeDocument/2006/custom-properties" xmlns:vt="http://schemas.openxmlformats.org/officeDocument/2006/docPropsVTypes"/>
</file>