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法務・総務のための社内研修資料20選</w:t>
      </w:r>
    </w:p>
    <w:p>
      <w:pPr>
        <w:spacing w:after="80"/>
      </w:pPr>
      <w:r>
        <w:rPr>
          <w:rFonts w:ascii="Meiryo" w:cs="Meiryo" w:eastAsia="Meiryo" w:hAnsi="Meiryo"/>
          <w:color w:val="5B6B78"/>
          <w:sz w:val="18"/>
          <w:szCs w:val="18"/>
        </w:rPr>
        <w:t xml:space="preserve">シリーズ第15回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36"/>
          <w:szCs w:val="36"/>
        </w:rPr>
        <w:t xml:space="preserve">利益相反 確認テスト 解答集</w:t>
      </w:r>
    </w:p>
    <w:p>
      <w:pPr>
        <w:spacing w:after="15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正解・評価ポイント・対応スライド・自社規程の確認事項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E8EDF3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対象：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9"/>
                <w:szCs w:val="19"/>
              </w:rPr>
              <w:t xml:space="preserve">講師・採点者・運営担当者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法令・制度基準日：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9"/>
                <w:szCs w:val="19"/>
              </w:rPr>
              <w:t xml:space="preserve">2026年6月18日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B78"/>
                <w:sz w:val="18"/>
                <w:szCs w:val="18"/>
              </w:rPr>
              <w:t xml:space="preserve">本解答は学習用の標準的な考え方です。個別事案の最終判断は自社規程・社内手続・法務等の確認を経てください。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E4F0EF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1"/>
                <w:szCs w:val="21"/>
              </w:rPr>
              <w:t xml:space="preserve">採点の考え方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各問1点、合計12点です。第3部のケース判断は、結論だけでなく「申告・除外・承認・記録・相談」の流れを理解できているかを重視してください。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解説の「区分」は、法令上の義務／自社ルール／推奨実務の別を示します。自社規程の条項・窓口名は、運営担当者が自社の内容へ差し替えてください。</w:t>
            </w:r>
          </w:p>
        </w:tc>
      </w:tr>
    </w:tbl>
    <w:p>
      <w:pPr>
        <w:spacing w:after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pStyle w:val="Heading2"/>
        <w:pBdr>
          <w:bottom w:val="single" w:color="B58A3A" w:sz="8" w:space="3"/>
        </w:pBdr>
        <w:spacing w:after="80" w:before="6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第1部　○×問題</w:t>
      </w:r>
    </w:p>
    <w:p>
      <w:pPr>
        <w:keepNext/>
        <w:spacing w:after="70" w:before="18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問1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×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2500"/>
        <w:gridCol w:w="6526"/>
      </w:tblGrid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評価ポイント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利益相反は悪意がある人だけの問題ではない。本人が公正に判断しているつもりでも、関係を申告せずに進めれば、外から疑念を持たれ得る。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関連リスク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利益相反の基本（外形的な公正性・説明可能性）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悪意の有無で判断せず、関係があれば申告する。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区分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推奨実務・基本的な考え方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スライド4・5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自社規程で確認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利益相反規程における利益相反の定義</w:t>
            </w:r>
          </w:p>
        </w:tc>
      </w:tr>
    </w:tbl>
    <w:p>
      <w:pPr>
        <w:keepNext/>
        <w:spacing w:after="70" w:before="18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問2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×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2500"/>
        <w:gridCol w:w="6526"/>
      </w:tblGrid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評価ポイント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副業・兼業は法律で一律に禁止されているわけではない。可否や手続は自社の就業規則・副業規程・雇用契約による。一方で、無制限に自由というわけでもなく、競業・秘密保持・利益相反等の観点から申告・制限が問題になり得る。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関連リスク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副業・兼業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副業の可否・申告の要否は自社規程で確認する。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区分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自社ルール（可否は規程による）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スライド9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自社規程で確認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副業・兼業規程、就業規則、申告フォーム</w:t>
            </w:r>
          </w:p>
        </w:tc>
      </w:tr>
    </w:tbl>
    <w:p>
      <w:pPr>
        <w:keepNext/>
        <w:spacing w:after="70" w:before="18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問3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○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2500"/>
        <w:gridCol w:w="6526"/>
      </w:tblGrid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評価ポイント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申告は本人と会社の双方を守る行動であり、申告したこと自体を理由に不利益に取り扱うべきではない。申告・相談を受けた側は適切な手続で公正に処理する。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関連リスク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申告・記録／申告者の保護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申告を歓迎し、公正な手続で処理する。取扱いに不安があれば相談する。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区分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自社ルール＋推奨実務（内部通報制度等で制度化される場合あり）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スライド20・23・34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自社規程で確認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利益相反規程・内部通報規程の不利益取扱い禁止</w:t>
            </w:r>
          </w:p>
        </w:tc>
      </w:tr>
    </w:tbl>
    <w:p>
      <w:pPr>
        <w:pStyle w:val="Heading2"/>
        <w:pBdr>
          <w:bottom w:val="single" w:color="B58A3A" w:sz="8" w:space="3"/>
        </w:pBdr>
        <w:spacing w:after="80" w:before="20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第2部　四肢択一</w:t>
      </w:r>
    </w:p>
    <w:p>
      <w:pPr>
        <w:keepNext/>
        <w:spacing w:after="70" w:before="18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問4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ウ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2500"/>
        <w:gridCol w:w="6526"/>
      </w:tblGrid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評価ポイント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親族会社が候補にある場合、関係を申告し、必要なら選定・検収から外れ、代替担当者を立てて記録を残す。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他の選択肢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ア・イは「安い・品質が良い」を申告省略の理由にしており不適切。エの独断完結も公正性・説明可能性を欠く。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関連リスク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親族会社・購買/発注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申告→（必要に応じ）判断除外→代替担当者→記録。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区分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自社ルール＋推奨実務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スライド11・12・26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自社規程で確認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購買・調達規程、申告フォーム、判断除外ルール</w:t>
            </w:r>
          </w:p>
        </w:tc>
      </w:tr>
    </w:tbl>
    <w:p>
      <w:pPr>
        <w:keepNext/>
        <w:spacing w:after="70" w:before="18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問5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イ（適切でないもの）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2500"/>
        <w:gridCol w:w="6526"/>
      </w:tblGrid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評価ポイント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「自社では扱っていないから」と個人の判断で会社の顧客を副業先へ紹介するのは、会社機会・顧客情報の私的利用につながり不適切。まず自社規程に従い申告・承認を受ける。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他の選択肢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ア・ウ・エはいずれも適切な対応であり、本問で選ぶべき「適切でないもの」ではない。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関連リスク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副業／会社機会・顧客情報の私的利用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顧客・案件・情報を私的に使わず、対応は会社の指示・規程に従う。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区分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自社ルール＋推奨実務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スライド9・16・27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自社規程で確認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副業規程、顧客情報・会社機会の取扱い、申告フロー</w:t>
            </w:r>
          </w:p>
        </w:tc>
      </w:tr>
    </w:tbl>
    <w:p>
      <w:pPr>
        <w:keepNext/>
        <w:spacing w:after="70" w:before="18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問6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ウ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2500"/>
        <w:gridCol w:w="6526"/>
      </w:tblGrid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評価ポイント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会社が検討中の未公表情報は、自分・親族・副業先・投資先へ流さず、私的な投資判断にも使わない。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他の選択肢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ア（親族会社へ漏えい）、イ・エ（未公表情報での取引）は、会社機会の私的利用やインサイダー取引（第20回）の問題につながり不適切。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関連リスク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会社情報・会社機会／インサイダー取引への接続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情報を私的利用しない。投資の可否を現場で判断せず法務等へ相談。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区分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推奨実務＋法令接続（金融商品取引法の問題にもなり得る）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スライド15・16・18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自社規程で確認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営業秘密・機密情報管理規程、インサイダー取引防止規程</w:t>
            </w:r>
          </w:p>
        </w:tc>
      </w:tr>
    </w:tbl>
    <w:p>
      <w:pPr>
        <w:keepNext/>
        <w:spacing w:after="70" w:before="18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問7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イ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2500"/>
        <w:gridCol w:w="6526"/>
      </w:tblGrid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評価ポイント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取締役が関与する会社との重要な取引は、会社法上の利益相反取引として、重要な事実の開示と承認手続が問題になる。利益相反該当性・承認の要否を現場が独断しない。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他の選択肢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ア（現場で通常取引として進める）、ウ（取締役本人の判断で足りる）、エ（利益相反取引にあたらない）はいずれも誤り。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関連リスク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取締役の競業・利益相反取引（会社法）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法務・取締役会対応へつなぐ。現場限りで進めない。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区分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法令上の論点（会社法）。ただし手続判断は現場が行わない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スライド19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自社規程で確認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取締役会規程、利益相反規程、職務権限規程</w:t>
            </w:r>
          </w:p>
        </w:tc>
      </w:tr>
    </w:tbl>
    <w:p>
      <w:pPr>
        <w:pStyle w:val="Heading2"/>
        <w:pBdr>
          <w:bottom w:val="single" w:color="B58A3A" w:sz="8" w:space="3"/>
        </w:pBdr>
        <w:spacing w:after="80" w:before="20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第3部　ケース判断</w:t>
      </w:r>
    </w:p>
    <w:p>
      <w:pPr>
        <w:keepNext/>
        <w:spacing w:after="70" w:before="18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問8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イ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2500"/>
        <w:gridCol w:w="6526"/>
      </w:tblGrid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評価ポイント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「公正に評価できる」という本人の自負は申告不要の理由にならない。関係を採用責任者へ申告し、原則として面接官から外れ、別評価者・記録で公正性を担保する。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他の選択肢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ア（申告不要）、ウ（あえて厳しく＝別の不公正）、エ（評価後の事後報告）は外形的公正性を欠く。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関連リスク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採用・評価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申告→面接官から外れる→別評価者・記録。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区分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自社ルール＋推奨実務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スライド13・28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自社規程で確認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採用・評価規程、利益相反申告フォーム</w:t>
            </w:r>
          </w:p>
        </w:tc>
      </w:tr>
    </w:tbl>
    <w:p>
      <w:pPr>
        <w:keepNext/>
        <w:spacing w:after="70" w:before="18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問9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ウ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2500"/>
        <w:gridCol w:w="6526"/>
      </w:tblGrid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評価ポイント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個人的な紹介料・謝礼・キックバックは利益相反につながる。「会社のため」でも個人が受領してよい理由にならない。原則として受領せず、提案の事実を報告し、証拠を保全する。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他の選択肢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ア・イ（会社のためなら受領）、エ（受領して黙る）はいずれも不適切。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関連リスク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接待・贈答・紹介料・リベート（第14回接続）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受領しない／報告する／証拠を残す。辞退・返却の詳細は第14回・自社規程。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区分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自社ルール＋推奨実務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スライド17・30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自社規程で確認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接待・贈答規程、贈収賄防止規程</w:t>
            </w:r>
          </w:p>
        </w:tc>
      </w:tr>
    </w:tbl>
    <w:p>
      <w:pPr>
        <w:keepNext/>
        <w:spacing w:after="70" w:before="18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問10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ウ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2500"/>
        <w:gridCol w:w="6526"/>
      </w:tblGrid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評価ポイント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個人的に株式を保有する会社とのM&amp;Aは、保有・利害を経営層・法務へ申告し、判断・交渉プロセスから外れる。未公表情報での追加取引はしない。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他の選択肢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ア（保有を伏せて推進）、イ（未公表情報で取引）、エ（一人で完結）はいずれも不適切。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関連リスク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投資・M&amp;A／インサイダー取引への接続（第20回）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申告→判断・交渉から外れる→詳細は第20回・自社規程。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区分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自社ルール＋推奨実務＋法令接続（金融商品取引法）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スライド14・29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自社規程で確認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投資・M&amp;A規程、インサイダー取引防止規程</w:t>
            </w:r>
          </w:p>
        </w:tc>
      </w:tr>
    </w:tbl>
    <w:p>
      <w:pPr>
        <w:keepNext/>
        <w:spacing w:after="70" w:before="18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問11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ウ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2500"/>
        <w:gridCol w:w="6526"/>
      </w:tblGrid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評価ポイント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勤務時間・会社設備・会社情報を副業に使うことは、職務専念や情報管理の観点から不適切で、申告・是正の対象になり得る。「支障がない」「少しだけ」は許容理由にならない。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他の選択肢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ア・イ（支障なし・少しならよい）、エ（会社は一切関与できない）はいずれも誤り。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関連リスク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副業／会社設備・会社情報の私的利用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申告し、会社資源の私的利用を是正する。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区分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自社ルール（副業規程・就業規則）＋推奨実務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スライド9・15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自社規程で確認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副業規程、情報セキュリティ規程、就業規則</w:t>
            </w:r>
          </w:p>
        </w:tc>
      </w:tr>
    </w:tbl>
    <w:p>
      <w:pPr>
        <w:keepNext/>
        <w:spacing w:after="70" w:before="18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問12　</w:t>
      </w:r>
      <w:r>
        <w:rPr>
          <w:rFonts w:ascii="Meiryo" w:cs="Meiryo" w:eastAsia="Meiryo" w:hAnsi="Meiryo"/>
          <w:b/>
          <w:bCs/>
          <w:color w:val="263238"/>
          <w:sz w:val="21"/>
          <w:szCs w:val="21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ウ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2500"/>
        <w:gridCol w:w="6526"/>
      </w:tblGrid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評価ポイント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利益相反該当性を自分で結論づけたり記録を消したりせず、隠さず・消さず、上長・法務・人事・コンプライアンスへ申告・相談し、必要な記録を残す。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他の選択肢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ア（独断で結論）、イ（記録を消す）、エ（様子見）はいずれも不適切な初動。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関連リスク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問題発見時の初動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止める・残す・報告する。該当性や処分を現場で判断しない。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区分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推奨実務＋自社ルール（初動・報告ルール）</w:t>
            </w:r>
          </w:p>
        </w:tc>
      </w:tr>
      <w:tr>
        <w:tc>
          <w:tcPr>
            <w:tcW w:type="dxa" w:w="25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スライド20・23・24・25</w:t>
            </w:r>
          </w:p>
        </w:tc>
      </w:tr>
      <w:tr>
        <w:tc>
          <w:tcPr>
            <w:tcW w:type="dxa" w:w="25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自社規程で確認</w:t>
            </w:r>
          </w:p>
        </w:tc>
        <w:tc>
          <w:tcPr>
            <w:tcW w:type="dxa" w:w="6526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利益相反規程、内部通報規程、初動対応ルール</w:t>
            </w:r>
          </w:p>
        </w:tc>
      </w:tr>
    </w:tbl>
    <w:p>
      <w:pPr>
        <w:pStyle w:val="Heading2"/>
        <w:pBdr>
          <w:bottom w:val="single" w:color="B58A3A" w:sz="8" w:space="3"/>
        </w:pBdr>
        <w:spacing w:after="80" w:before="200"/>
      </w:pPr>
      <w:r>
        <w:rPr>
          <w:rFonts w:ascii="Meiryo" w:cs="Meiryo" w:eastAsia="Meiryo" w:hAnsi="Meiryo"/>
          <w:b/>
          <w:bCs/>
          <w:color w:val="16314F"/>
          <w:sz w:val="23"/>
          <w:szCs w:val="23"/>
        </w:rPr>
        <w:t xml:space="preserve">自由記述の評価観点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自分の業務に即した具体的な場面を挙げられているか。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「誰に・何を申告するか」が書けているか（上長・法務・人事・コンプライアンス・購買など）。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「何を記録するか」が書けているか（申告内容・除外・代替担当者・判断理由を稟議・議事録・選定記録へ）。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該当性・承認の要否・処分などを自分で結論づけていないか。</w:t>
      </w:r>
    </w:p>
    <w:p>
      <w:pPr>
        <w:spacing w:after="6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F3ECD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本資料に関するご注意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本資料は、社内研修・自己点検のための一般的な解説資料です。個別の事案における利益相反該当性、会社法上の承認の要否、懲戒、会計・税務処理、インサイダー取引該当性、対外対応の最終判断は、本資料のみで行わず、必ず自社の規程・社内手続・法務・人事・コンプライアンス部門・経営層・必要に応じ専門家の確認を経てください。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本資料は、副業・兼業や親族会社・取引先との関係を一律に禁止するものではありません。また、本資料だけで利益相反管理体制が完成するものでもありません。自社の利益相反規程・副業規程・各種規程・申告フォーム・相談窓口と併せて運用してください。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法令・ガイドラインは改正される場合があります。利用前に最新の条文・公的資料をご確認ください。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300" w:right="1440" w:bottom="1300" w:left="1440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D2DB" w:sz="4" w:space="4"/>
      </w:pBdr>
      <w:tabs>
        <w:tab w:val="right" w:pos="9026"/>
      </w:tabs>
    </w:pPr>
    <w:r>
      <w:rPr>
        <w:rFonts w:ascii="Meiryo" w:cs="Meiryo" w:eastAsia="Meiryo" w:hAnsi="Meiryo"/>
        <w:color w:val="5B6B78"/>
        <w:sz w:val="14"/>
        <w:szCs w:val="14"/>
      </w:rPr>
      <w:t xml:space="preserve">Legal GPT ｜ 第15回 利益相反研修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B6B78"/>
        <w:sz w:val="14"/>
        <w:szCs w:val="14"/>
      </w:rPr>
      <w:t xml:space="preserve"/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5B6B78"/>
        <w:sz w:val="14"/>
        <w:szCs w:val="14"/>
      </w:rPr>
      <w:t xml:space="preserve"> / </w:t>
    </w:r>
    <w:r>
      <w:rPr>
        <w:rFonts w:ascii="Meiryo" w:cs="Meiryo" w:eastAsia="Meiryo" w:hAnsi="Meiryo"/>
        <w:color w:val="5B6B78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58A3A" w:sz="4" w:space="4"/>
      </w:pBdr>
      <w:spacing w:after="40"/>
      <w:jc w:val="right"/>
    </w:pPr>
    <w:r>
      <w:rPr>
        <w:rFonts w:ascii="Meiryo" w:cs="Meiryo" w:eastAsia="Meiryo" w:hAnsi="Meiryo"/>
        <w:color w:val="5B6B78"/>
        <w:sz w:val="15"/>
        <w:szCs w:val="15"/>
      </w:rPr>
      <w:t xml:space="preserve">利益相反 確認テスト 解答集｜第15回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rFonts w:ascii="Meiryo" w:cs="Meiryo" w:eastAsia="Meiryo" w:hAnsi="Meiryo"/>
        <w:color w:val="237A75"/>
      </w:rPr>
    </w:lvl>
    <w:lvl w:ilvl="1" w15:tentative="1">
      <w:start w:val="1"/>
      <w:numFmt w:val="bullet"/>
      <w:lvlText w:val="–"/>
      <w:lvlJc w:val="left"/>
      <w:pPr>
        <w:ind w:left="900" w:hanging="260"/>
      </w:pPr>
      <w:rPr>
        <w:rFonts w:ascii="Meiryo" w:cs="Meiryo" w:eastAsia="Meiryo" w:hAnsi="Meiryo"/>
        <w:color w:val="5B6B78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10" w:before="220"/>
      <w:outlineLvl w:val="1"/>
    </w:pPr>
    <w:rPr>
      <w:rFonts w:ascii="Meiryo" w:cs="Meiryo" w:eastAsia="Meiryo" w:hAnsi="Meiryo"/>
      <w:b/>
      <w:bCs/>
      <w:color w:val="16314F"/>
      <w:sz w:val="24"/>
      <w:szCs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利益相反研修 第15回</dc:title>
  <dc:creator>Legal GPT</dc:creator>
  <cp:lastModifiedBy>Un-named</cp:lastModifiedBy>
  <cp:revision>1</cp:revision>
  <dcterms:created xsi:type="dcterms:W3CDTF">2026-06-22T05:51:19.060Z</dcterms:created>
  <dcterms:modified xsi:type="dcterms:W3CDTF">2026-06-22T05:51:19.060Z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