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rFonts w:ascii="Meiryo" w:cs="Meiryo" w:eastAsia="Meiryo" w:hAnsi="Meiryo"/>
          <w:b/>
          <w:bCs/>
          <w:color w:val="B58A3A"/>
          <w:sz w:val="19"/>
          <w:szCs w:val="19"/>
        </w:rPr>
        <w:t xml:space="preserve">法務・総務のための社内研修資料20選</w:t>
      </w:r>
    </w:p>
    <w:p>
      <w:pPr>
        <w:spacing w:after="80"/>
      </w:pPr>
      <w:r>
        <w:rPr>
          <w:rFonts w:ascii="Meiryo" w:cs="Meiryo" w:eastAsia="Meiryo" w:hAnsi="Meiryo"/>
          <w:color w:val="5B6B78"/>
          <w:sz w:val="18"/>
          <w:szCs w:val="18"/>
        </w:rPr>
        <w:t xml:space="preserve">シリーズ第15回</w:t>
      </w:r>
    </w:p>
    <w:p>
      <w:pPr>
        <w:spacing w:after="30"/>
      </w:pPr>
      <w:r>
        <w:rPr>
          <w:rFonts w:ascii="Meiryo" w:cs="Meiryo" w:eastAsia="Meiryo" w:hAnsi="Meiryo"/>
          <w:b/>
          <w:bCs/>
          <w:color w:val="16314F"/>
          <w:sz w:val="36"/>
          <w:szCs w:val="36"/>
        </w:rPr>
        <w:t xml:space="preserve">利益相反研修 実施ガイド</w:t>
      </w:r>
    </w:p>
    <w:p>
      <w:pPr>
        <w:spacing w:after="15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企画・運営担当者のための準備・自社化・運用の手引き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E8EDF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対象：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研修企画・運営担当者・事務局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16314F"/>
                <w:sz w:val="19"/>
                <w:szCs w:val="19"/>
              </w:rPr>
              <w:t xml:space="preserve">法令・制度基準日：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2026年6月18日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5B6B78"/>
                <w:sz w:val="18"/>
                <w:szCs w:val="18"/>
              </w:rPr>
              <w:t xml:space="preserve">本ガイドは運用の手引きです。各規程・窓口・フローは自社の内容で確認・差し替えてください。</w:t>
            </w:r>
          </w:p>
        </w:tc>
      </w:tr>
    </w:tbl>
    <w:p>
      <w:pPr>
        <w:spacing w:after="12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pStyle w:val="Heading2"/>
        <w:pBdr>
          <w:bottom w:val="single" w:color="B58A3A" w:sz="8" w:space="3"/>
        </w:pBdr>
        <w:spacing w:after="110" w:before="22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1. 研修の目的・対象・所要時間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目的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利益相反は悪意がなくても起こり得ること、申告が本人と会社を守る行動であることを理解させる。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副業・親族会社・取引先との関係、購買・採用・投資等での関与、会社情報・会社機会の私的利用について、申告・承認・判断除外・記録・相談ができるようにする。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主な対象</w:t>
      </w:r>
    </w:p>
    <w:p>
      <w:pPr>
        <w:spacing w:after="8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全社員・管理職・役員。特に営業、購買・調達・検収、経理・財務、人事・採用・評価、法務・総務・コンプライアンス、事業開発・投資・M&amp;A、情報システム、海外事業、取引先選定・発注に関与する担当者。必要に応じ派遣社員・業務委託者も対象とする。</w:t>
      </w:r>
    </w:p>
    <w:p>
      <w:pPr>
        <w:spacing w:after="80" w:before="150"/>
      </w:pPr>
      <w:r>
        <w:rPr>
          <w:rFonts w:ascii="Meiryo" w:cs="Meiryo" w:eastAsia="Meiryo" w:hAnsi="Meiryo"/>
          <w:b/>
          <w:bCs/>
          <w:color w:val="237A75"/>
          <w:sz w:val="21"/>
          <w:szCs w:val="21"/>
        </w:rPr>
        <w:t xml:space="preserve">所要時間</w:t>
      </w:r>
    </w:p>
    <w:p>
      <w:pPr>
        <w:spacing w:after="8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標準約45〜55分。ケース討議または利益相反申告書演習を加える場合は70〜80分（講師台本末尾参照）。</w:t>
      </w:r>
    </w:p>
    <w:p>
      <w:pPr>
        <w:pStyle w:val="Heading2"/>
        <w:pBdr>
          <w:bottom w:val="single" w:color="B58A3A" w:sz="8" w:space="3"/>
        </w:pBdr>
        <w:spacing w:after="110" w:before="22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2. 他回との役割分担</w:t>
      </w:r>
    </w:p>
    <w:tbl>
      <w:tblPr>
        <w:tblW w:type="dxa" w:w="9026"/>
        <w:tblBorders>
          <w:top w:val="single" w:color="C9D2DB" w:sz="4"/>
          <w:left w:val="single" w:color="C9D2DB" w:sz="4"/>
          <w:bottom w:val="single" w:color="C9D2DB" w:sz="4"/>
          <w:right w:val="single" w:color="C9D2DB" w:sz="4"/>
          <w:insideH w:val="single" w:color="C9D2DB" w:sz="4"/>
          <w:insideV w:val="single" w:color="C9D2DB" w:sz="4"/>
        </w:tblBorders>
      </w:tblPr>
      <w:tblGrid>
        <w:gridCol w:w="2100"/>
        <w:gridCol w:w="6926"/>
      </w:tblGrid>
      <w:tr>
        <w:trPr>
          <w:tblHeader/>
        </w:trPr>
        <w:tc>
          <w:tcPr>
            <w:tcW w:type="dxa" w:w="2100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回</w:t>
            </w:r>
          </w:p>
        </w:tc>
        <w:tc>
          <w:tcPr>
            <w:tcW w:type="dxa" w:w="6926"/>
            <w:shd w:fill="16314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 w:line="252"/>
              <w:jc w:val="center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本回との違い</w:t>
            </w:r>
          </w:p>
        </w:tc>
      </w:tr>
      <w:tr>
        <w:tc>
          <w:tcPr>
            <w:tcW w:type="dxa" w:w="21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第14回（接待・贈答・贈収賄）</w:t>
            </w:r>
          </w:p>
        </w:tc>
        <w:tc>
          <w:tcPr>
            <w:tcW w:type="dxa" w:w="6926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金額基準・辞退・返却・公務員・外国公務員贈賄の詳細は第14回。本回は個人的便益が判断に影響し得る入口のみ扱う。</w:t>
            </w:r>
          </w:p>
        </w:tc>
      </w:tr>
      <w:tr>
        <w:tc>
          <w:tcPr>
            <w:tcW w:type="dxa" w:w="21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第16回（独占禁止法）</w:t>
            </w:r>
          </w:p>
        </w:tc>
        <w:tc>
          <w:tcPr>
            <w:tcW w:type="dxa" w:w="6926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競合との情報交換・カルテル・入札談合の詳細は第16回。本回は競合への副業・顧問関与等の利益相反の観点。</w:t>
            </w:r>
          </w:p>
        </w:tc>
      </w:tr>
      <w:tr>
        <w:tc>
          <w:tcPr>
            <w:tcW w:type="dxa" w:w="21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第17回（取適法）</w:t>
            </w:r>
          </w:p>
        </w:tc>
        <w:tc>
          <w:tcPr>
            <w:tcW w:type="dxa" w:w="6926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発注の禁止行為・支払遅延・減額・買いたたきの詳細は第17回。本回は発注先選定時の利害申告・除外。</w:t>
            </w:r>
          </w:p>
        </w:tc>
      </w:tr>
      <w:tr>
        <w:tc>
          <w:tcPr>
            <w:tcW w:type="dxa" w:w="2100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第19回（契約締結権限）</w:t>
            </w:r>
          </w:p>
        </w:tc>
        <w:tc>
          <w:tcPr>
            <w:tcW w:type="dxa" w:w="6926"/>
            <w:shd w:fill="F6F8FA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締結権限・押印・電子契約・代理権・表見代理の詳細は第19回。本回は利益相反のある相手との契約・自己取引の入口。</w:t>
            </w:r>
          </w:p>
        </w:tc>
      </w:tr>
      <w:tr>
        <w:tc>
          <w:tcPr>
            <w:tcW w:type="dxa" w:w="2100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第20回（インサイダー取引）</w:t>
            </w:r>
          </w:p>
        </w:tc>
        <w:tc>
          <w:tcPr>
            <w:tcW w:type="dxa" w:w="6926"/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0" w:line="252"/>
            </w:pPr>
            <w:r>
              <w:rPr>
                <w:rFonts w:ascii="Meiryo" w:cs="Meiryo" w:eastAsia="Meiryo" w:hAnsi="Meiryo"/>
                <w:b w:val="false"/>
                <w:bCs w:val="false"/>
                <w:color w:val="263238"/>
                <w:sz w:val="18"/>
                <w:szCs w:val="18"/>
              </w:rPr>
              <w:t xml:space="preserve">重要事実・公開買付け等事実・情報受領者・家族名義取引の詳細は第20回。本回は職務上の情報を私的利益に使わない観点。</w:t>
            </w:r>
          </w:p>
        </w:tc>
      </w:tr>
    </w:tbl>
    <w:p>
      <w:pPr>
        <w:pStyle w:val="Heading2"/>
        <w:pBdr>
          <w:bottom w:val="single" w:color="B58A3A" w:sz="8" w:space="3"/>
        </w:pBdr>
        <w:spacing w:after="110" w:before="22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3. 事前準備</w:t>
      </w:r>
    </w:p>
    <w:p>
      <w:pPr>
        <w:pStyle w:val="ListParagraph"/>
        <w:numPr>
          <w:ilvl w:val="0"/>
          <w:numId w:val="3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自社の利益相反規程・副業規程・関連規程の最新版を確認する（次項のチェックリスト参照）。</w:t>
      </w:r>
    </w:p>
    <w:p>
      <w:pPr>
        <w:pStyle w:val="ListParagraph"/>
        <w:numPr>
          <w:ilvl w:val="0"/>
          <w:numId w:val="3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利益相反申告フォーム・副業申告フォーム・承認フロー・相談窓口を確認し、資料の記入欄へ反映する。</w:t>
      </w:r>
    </w:p>
    <w:p>
      <w:pPr>
        <w:pStyle w:val="ListParagraph"/>
        <w:numPr>
          <w:ilvl w:val="0"/>
          <w:numId w:val="3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ケースを自社の事業・職種に合わせて差し替える（個人名・実在の取引先名・案件名は使わない）。</w:t>
      </w:r>
    </w:p>
    <w:p>
      <w:pPr>
        <w:pStyle w:val="ListParagraph"/>
        <w:numPr>
          <w:ilvl w:val="0"/>
          <w:numId w:val="3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確認テストの実施方法（記名・採点・保管）と欠席者フォローの方針を決める。</w:t>
      </w:r>
    </w:p>
    <w:p>
      <w:pPr>
        <w:pStyle w:val="ListParagraph"/>
        <w:numPr>
          <w:ilvl w:val="0"/>
          <w:numId w:val="3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研修中に実際の相談が出た場合の受け皿（窓口・担当者）を事前に決めておく。</w:t>
      </w:r>
    </w:p>
    <w:p>
      <w:pPr>
        <w:pStyle w:val="Heading2"/>
        <w:pBdr>
          <w:bottom w:val="single" w:color="B58A3A" w:sz="8" w:space="3"/>
        </w:pBdr>
        <w:spacing w:after="110" w:before="22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4. 自社規程との整合確認チェックリスト</w:t>
      </w:r>
    </w:p>
    <w:p>
      <w:pPr>
        <w:spacing w:after="7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次の規程・文書について、最新版の有無・内容・本研修資料との整合を確認してください。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利益相反規程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副業・兼業規程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就業規則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役員規程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取締役会規程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職務権限規程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購買・調達規程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採用・評価規程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投資・M&amp;A規程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接待・贈答規程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贈収賄防止規程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インサイダー取引防止規程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営業秘密・機密情報管理規程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個人情報保護規程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内部通報規程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懲戒規程</w:t>
      </w:r>
    </w:p>
    <w:p>
      <w:pPr>
        <w:spacing w:after="2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6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あわせて、次の運用文書・フローを確認します。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利益相反申告フォーム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副業申告フォーム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承認フロー（誰が承認するか）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判断除外ルール（誰が・いつ・どのプロセスから外れるか）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議事録・稟議への記録方法</w:t>
      </w:r>
    </w:p>
    <w:p>
      <w:pPr>
        <w:pStyle w:val="Heading2"/>
        <w:pBdr>
          <w:bottom w:val="single" w:color="B58A3A" w:sz="8" w:space="3"/>
        </w:pBdr>
        <w:spacing w:after="110" w:before="22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5. 相談・エスカレーション基準</w:t>
      </w:r>
    </w:p>
    <w:p>
      <w:pPr>
        <w:spacing w:after="70" w:before="0" w:line="276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次のような場合は、現場で結論を出さず、所定の窓口・担当へつなぎます。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役員・取締役が関与する取引（会社法上の利益相反取引・競業取引の可能性）→ 法務・取締役会対応。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未公表情報を使った取引のおそれ → 法務・コンプライアンス（インサイダー取引の論点は第20回）。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個人的な紹介料・リベート・キックバックの提案 → 上長・法務（接待贈答の詳細は第14回）。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懲戒・人事処分、会計・税務処理、対外公表の要否 → 人事・経理・法務・経営層。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8E6E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42318"/>
                <w:sz w:val="21"/>
                <w:szCs w:val="21"/>
              </w:rPr>
              <w:t xml:space="preserve">研修中に実際の相談が出た場合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その場で利益相反該当性・承認の要否・処分などの結論を出さないでください。事実関係を簡潔に控え、研修後に正規の申告フォーム・相談窓口・手続へつなぎます。個人名・取引先名・未公表情報を全体の場で詳述させないよう配慮します。</w:t>
            </w:r>
          </w:p>
        </w:tc>
      </w:tr>
    </w:tbl>
    <w:p>
      <w:pPr>
        <w:pStyle w:val="Heading2"/>
        <w:pBdr>
          <w:bottom w:val="single" w:color="B58A3A" w:sz="8" w:space="3"/>
        </w:pBdr>
        <w:spacing w:after="110" w:before="22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6. 受講記録・テスト管理・フォロー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受講記録（受講日・対象者・実施形態）を残す。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確認テストの採点基準（各1点・計12点）と保管・共有範囲を定める。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欠席者には録画視聴または別日程を案内し、受講記録に反映する。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役員・管理職・購買・投資・採用などの高関与部門には、必要に応じ追加研修やケース討議を行う。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再研修の目安は年1回、または規程改正・重大事案の発生時とする（自社方針による）。</w:t>
      </w:r>
    </w:p>
    <w:p>
      <w:pPr>
        <w:pStyle w:val="Heading2"/>
        <w:pBdr>
          <w:bottom w:val="single" w:color="B58A3A" w:sz="8" w:space="3"/>
        </w:pBdr>
        <w:spacing w:after="110" w:before="22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7. ケースの自社化と版管理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ケースは自社の事業・職種に合わせて差し替える。実在の個人・企業・取引先・案件を特定できる記述は避ける。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申告者を疑う・責める描写、特定の属性を揶揄する描写にしない。</w:t>
      </w:r>
    </w:p>
    <w:p>
      <w:pPr>
        <w:pStyle w:val="ListParagraph"/>
        <w:numPr>
          <w:ilvl w:val="0"/>
          <w:numId w:val="2"/>
        </w:numPr>
        <w:spacing w:after="70" w:line="27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>資料には版数・改訂日・根拠とした規程の版を記録し、規程改正時に見直す。</w:t>
      </w:r>
    </w:p>
    <w:p>
      <w:pPr>
        <w:pStyle w:val="Heading2"/>
        <w:pBdr>
          <w:bottom w:val="single" w:color="B58A3A" w:sz="8" w:space="3"/>
        </w:pBdr>
        <w:spacing w:after="110" w:before="22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8. 講師が言ってはいけない説明</w:t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8E6E3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19"/>
                <w:szCs w:val="19"/>
              </w:rPr>
              <w:t xml:space="preserve">×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副業・親族会社との取引を一律に禁止する、という説明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19"/>
                <w:szCs w:val="19"/>
              </w:rPr>
              <w:t xml:space="preserve">×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申告すれば必ず承認される／必ず問題がなくなる、という説明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19"/>
                <w:szCs w:val="19"/>
              </w:rPr>
              <w:t xml:space="preserve">×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会社に損がなければ利益相反ではない／本人が公正なら問題ない、という説明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19"/>
                <w:szCs w:val="19"/>
              </w:rPr>
              <w:t xml:space="preserve">×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安い・品質が良い・知人だから選んでよい、黙っていればよい、という説明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19"/>
                <w:szCs w:val="19"/>
              </w:rPr>
              <w:t xml:space="preserve">×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会社情報を使わなければ顧客紹介・会社機会利用をしてよい、勤務時間・会社端末を少しなら副業に使ってよい、という説明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19"/>
                <w:szCs w:val="19"/>
              </w:rPr>
              <w:t xml:space="preserve">×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取締役の利益相反取引を現場が独断で承認できる、という説明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/>
                <w:bCs/>
                <w:i w:val="false"/>
                <w:iCs w:val="false"/>
                <w:color w:val="B42318"/>
                <w:sz w:val="19"/>
                <w:szCs w:val="19"/>
              </w:rPr>
              <w:t xml:space="preserve">× </w:t>
            </w: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19"/>
                <w:szCs w:val="19"/>
              </w:rPr>
              <w:t xml:space="preserve">AIが利益相反該当性を最終判断できる／この研修だけで管理体制が完成する、という説明</w:t>
            </w:r>
          </w:p>
        </w:tc>
      </w:tr>
    </w:tbl>
    <w:p>
      <w:pPr>
        <w:pStyle w:val="Heading2"/>
        <w:pBdr>
          <w:bottom w:val="single" w:color="B58A3A" w:sz="8" w:space="3"/>
        </w:pBdr>
        <w:spacing w:after="110" w:before="220"/>
      </w:pPr>
      <w:r>
        <w:rPr>
          <w:rFonts w:ascii="Meiryo" w:cs="Meiryo" w:eastAsia="Meiryo" w:hAnsi="Meiryo"/>
          <w:b/>
          <w:bCs/>
          <w:color w:val="16314F"/>
          <w:sz w:val="24"/>
          <w:szCs w:val="24"/>
        </w:rPr>
        <w:t xml:space="preserve">9. 自社カスタマイズチェックリスト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表紙に会社名・実施日・講師名を記入した。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相談窓口（【要自社記入】箇所）を自社の窓口名・連絡先に置き換えた。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ケースを自社の事業・職種に合わせて確認・差し替えた。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確認テストの実施・採点・保管方法を決めた。</w:t>
      </w:r>
    </w:p>
    <w:p>
      <w:pPr>
        <w:spacing w:after="90" w:line="276"/>
        <w:ind w:left="200"/>
      </w:pPr>
      <w:r>
        <w:rPr>
          <w:rFonts w:ascii="Meiryo" w:cs="Meiryo" w:eastAsia="Meiryo" w:hAnsi="Meiryo"/>
          <w:color w:val="237A75"/>
          <w:sz w:val="22"/>
          <w:szCs w:val="22"/>
        </w:rPr>
        <w:t xml:space="preserve">☐  </w:t>
      </w:r>
      <w:r>
        <w:rPr>
          <w:rFonts w:ascii="Meiryo" w:cs="Meiryo" w:eastAsia="Meiryo" w:hAnsi="Meiryo"/>
          <w:b w:val="false"/>
          <w:bCs w:val="false"/>
          <w:color w:val="263238"/>
          <w:sz w:val="20"/>
          <w:szCs w:val="20"/>
        </w:rPr>
        <w:t xml:space="preserve">各資料の版数・改訂日を記入した。</w:t>
      </w:r>
    </w:p>
    <w:p>
      <w:pPr>
        <w:spacing w:after="2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p>
      <w:pPr>
        <w:spacing w:after="110" w:line="30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【要自社記入：利益相反に関する相談窓口】</w:t>
      </w:r>
      <w:r>
        <w:rPr>
          <w:rFonts w:ascii="Meiryo" w:cs="Meiryo" w:eastAsia="Meiryo" w:hAnsi="Meiryo"/>
          <w:color w:val="5B6B78"/>
          <w:sz w:val="20"/>
          <w:szCs w:val="20"/>
        </w:rPr>
        <w:t xml:space="preserve">　＿＿＿＿＿＿＿＿＿＿＿＿＿＿＿＿＿＿＿＿＿＿＿＿＿＿＿＿＿＿</w:t>
      </w:r>
    </w:p>
    <w:p>
      <w:pPr>
        <w:spacing w:after="110" w:line="30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【要自社記入：副業・兼業に関する申告先】</w:t>
      </w:r>
      <w:r>
        <w:rPr>
          <w:rFonts w:ascii="Meiryo" w:cs="Meiryo" w:eastAsia="Meiryo" w:hAnsi="Meiryo"/>
          <w:color w:val="5B6B78"/>
          <w:sz w:val="20"/>
          <w:szCs w:val="20"/>
        </w:rPr>
        <w:t xml:space="preserve">　＿＿＿＿＿＿＿＿＿＿＿＿＿＿＿＿＿＿＿＿＿＿＿＿＿＿＿＿＿＿</w:t>
      </w:r>
    </w:p>
    <w:p>
      <w:pPr>
        <w:spacing w:after="110" w:line="300"/>
      </w:pPr>
      <w:r>
        <w:rPr>
          <w:rFonts w:ascii="Meiryo" w:cs="Meiryo" w:eastAsia="Meiryo" w:hAnsi="Meiryo"/>
          <w:b/>
          <w:bCs/>
          <w:color w:val="16314F"/>
          <w:sz w:val="20"/>
          <w:szCs w:val="20"/>
        </w:rPr>
        <w:t xml:space="preserve">【要自社記入：資料の版数・改訂日】</w:t>
      </w:r>
      <w:r>
        <w:rPr>
          <w:rFonts w:ascii="Meiryo" w:cs="Meiryo" w:eastAsia="Meiryo" w:hAnsi="Meiryo"/>
          <w:color w:val="5B6B78"/>
          <w:sz w:val="20"/>
          <w:szCs w:val="20"/>
        </w:rPr>
        <w:t xml:space="preserve">　＿＿＿＿＿＿＿＿＿＿＿＿＿＿＿＿＿＿＿＿＿＿＿＿＿＿＿＿＿＿</w:t>
      </w:r>
    </w:p>
    <w:p>
      <w:pPr>
        <w:spacing w:after="60"/>
      </w:pPr>
      <w:r>
        <w:rPr>
          <w:rFonts w:ascii="Meiryo" w:cs="Meiryo" w:eastAsia="Meiryo" w:hAnsi="Meiryo"/>
          <w:b w:val="false"/>
          <w:bCs w:val="false"/>
          <w:i w:val="false"/>
          <w:iCs w:val="false"/>
          <w:color w:val="263238"/>
          <w:sz w:val="21"/>
          <w:szCs w:val="21"/>
        </w:rPr>
        <w:t xml:space="preserve"/>
      </w:r>
    </w:p>
    <w:tbl>
      <w:tblPr>
        <w:tblW w:type="dxa" w:w="9026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026"/>
      </w:tblGrid>
      <w:tr>
        <w:tc>
          <w:tcPr>
            <w:tcW w:type="dxa" w:w="9026"/>
            <w:shd w:fill="F3ECDD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6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本資料に関するご注意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資料は、社内研修・自己点検のための一般的な解説資料です。個別の事案における利益相反該当性、会社法上の承認の要否、懲戒、会計・税務処理、インサイダー取引該当性、対外対応の最終判断は、本資料のみで行わず、必ず自社の規程・社内手続・法務・人事・コンプライアンス部門・経営層・必要に応じ専門家の確認を経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本資料は、副業・兼業や親族会社・取引先との関係を一律に禁止するものではありません。また、本資料だけで利益相反管理体制が完成するものでもありません。自社の利益相反規程・副業規程・各種規程・申告フォーム・相談窓口と併せて運用してください。</w:t>
            </w:r>
          </w:p>
          <w:p>
            <w:pPr>
              <w:spacing w:after="40"/>
            </w:pPr>
            <w:r>
              <w:rPr>
                <w:rFonts w:ascii="Meiryo" w:cs="Meiryo" w:eastAsia="Meiryo" w:hAnsi="Meiryo"/>
                <w:b w:val="false"/>
                <w:bCs w:val="false"/>
                <w:i w:val="false"/>
                <w:iCs w:val="false"/>
                <w:color w:val="263238"/>
                <w:sz w:val="20"/>
                <w:szCs w:val="20"/>
              </w:rPr>
              <w:t xml:space="preserve">法令・ガイドラインは改正される場合があります。利用前に最新の条文・公的資料をご確認ください。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300" w:right="1440" w:bottom="1300" w:left="1440" w:header="708" w:footer="708" w:gutter="0"/>
      <w:pgNumTyp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D2DB" w:sz="4" w:space="4"/>
      </w:pBdr>
      <w:tabs>
        <w:tab w:val="right" w:pos="9026"/>
      </w:tabs>
    </w:pPr>
    <w:r>
      <w:rPr>
        <w:rFonts w:ascii="Meiryo" w:cs="Meiryo" w:eastAsia="Meiryo" w:hAnsi="Meiryo"/>
        <w:color w:val="5B6B78"/>
        <w:sz w:val="14"/>
        <w:szCs w:val="14"/>
      </w:rPr>
      <w:t xml:space="preserve">Legal GPT ｜ 第15回 利益相反研修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B6B78"/>
        <w:sz w:val="14"/>
        <w:szCs w:val="14"/>
      </w:rPr>
      <w:t xml:space="preserve"/>
      <w:fldChar w:fldCharType="begin"/>
      <w:instrText xml:space="preserve">PAGE</w:instrText>
      <w:fldChar w:fldCharType="separate"/>
      <w:fldChar w:fldCharType="end"/>
    </w:r>
    <w:r>
      <w:rPr>
        <w:rFonts w:ascii="Meiryo" w:cs="Meiryo" w:eastAsia="Meiryo" w:hAnsi="Meiryo"/>
        <w:color w:val="5B6B78"/>
        <w:sz w:val="14"/>
        <w:szCs w:val="14"/>
      </w:rPr>
      <w:t xml:space="preserve"> / </w:t>
    </w:r>
    <w:r>
      <w:rPr>
        <w:rFonts w:ascii="Meiryo" w:cs="Meiryo" w:eastAsia="Meiryo" w:hAnsi="Meiryo"/>
        <w:color w:val="5B6B78"/>
        <w:sz w:val="14"/>
        <w:szCs w:val="14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58A3A" w:sz="4" w:space="4"/>
      </w:pBdr>
      <w:spacing w:after="40"/>
      <w:jc w:val="right"/>
    </w:pPr>
    <w:r>
      <w:rPr>
        <w:rFonts w:ascii="Meiryo" w:cs="Meiryo" w:eastAsia="Meiryo" w:hAnsi="Meiryo"/>
        <w:color w:val="5B6B78"/>
        <w:sz w:val="15"/>
        <w:szCs w:val="15"/>
      </w:rPr>
      <w:t xml:space="preserve">利益相反研修 実施ガイド｜第15回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  <w:rPr>
        <w:rFonts w:ascii="Meiryo" w:cs="Meiryo" w:eastAsia="Meiryo" w:hAnsi="Meiryo"/>
        <w:color w:val="237A75"/>
      </w:rPr>
    </w:lvl>
    <w:lvl w:ilvl="1" w15:tentative="1">
      <w:start w:val="1"/>
      <w:numFmt w:val="bullet"/>
      <w:lvlText w:val="–"/>
      <w:lvlJc w:val="left"/>
      <w:pPr>
        <w:ind w:left="900" w:hanging="260"/>
      </w:pPr>
      <w:rPr>
        <w:rFonts w:ascii="Meiryo" w:cs="Meiryo" w:eastAsia="Meiryo" w:hAnsi="Meiryo"/>
        <w:color w:val="5B6B7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60" w:hanging="3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40" w:before="24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110" w:before="220"/>
      <w:outlineLvl w:val="1"/>
    </w:pPr>
    <w:rPr>
      <w:rFonts w:ascii="Meiryo" w:cs="Meiryo" w:eastAsia="Meiryo" w:hAnsi="Meiryo"/>
      <w:b/>
      <w:bCs/>
      <w:color w:val="16314F"/>
      <w:sz w:val="24"/>
      <w:szCs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利益相反研修 第15回</dc:title>
  <dc:creator>Legal GPT</dc:creator>
  <cp:lastModifiedBy>Un-named</cp:lastModifiedBy>
  <cp:revision>1</cp:revision>
  <dcterms:created xsi:type="dcterms:W3CDTF">2026-06-22T06:01:27.911Z</dcterms:created>
  <dcterms:modified xsi:type="dcterms:W3CDTF">2026-06-22T06:01:27.911Z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