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Meiryo" w:cs="Meiryo" w:eastAsia="Meiryo" w:hAnsi="Meiryo"/>
          <w:b/>
          <w:bCs/>
          <w:color w:val="B58A3A"/>
          <w:sz w:val="18"/>
          <w:szCs w:val="18"/>
        </w:rPr>
        <w:t xml:space="preserve">法務・総務のための社内研修資料20選</w:t>
      </w:r>
    </w:p>
    <w:p>
      <w:pPr>
        <w:spacing w:after="40" w:before="0"/>
      </w:pPr>
      <w:r>
        <w:rPr>
          <w:rFonts w:ascii="Meiryo" w:cs="Meiryo" w:eastAsia="Meiryo" w:hAnsi="Meiryo"/>
          <w:b/>
          <w:bCs/>
          <w:color w:val="5B6B7B"/>
          <w:sz w:val="19"/>
          <w:szCs w:val="19"/>
        </w:rPr>
        <w:t xml:space="preserve">第16回　独占禁止法研修</w:t>
      </w:r>
    </w:p>
    <w:p>
      <w:pPr>
        <w:pBdr>
          <w:bottom w:val="single" w:color="B58A3A" w:sz="16" w:space="6"/>
        </w:pBdr>
        <w:spacing w:after="80" w:before="0"/>
      </w:pPr>
      <w:r>
        <w:rPr>
          <w:rFonts w:ascii="Meiryo" w:cs="Meiryo" w:eastAsia="Meiryo" w:hAnsi="Meiryo"/>
          <w:b/>
          <w:bCs/>
          <w:color w:val="16314F"/>
          <w:sz w:val="34"/>
          <w:szCs w:val="34"/>
        </w:rPr>
        <w:t xml:space="preserve">確認テスト 解答・解説</w:t>
      </w:r>
    </w:p>
    <w:p>
      <w:pPr>
        <w:spacing w:after="80" w:before="60"/>
      </w:pPr>
      <w:r>
        <w:rPr>
          <w:rFonts w:ascii="Meiryo" w:cs="Meiryo" w:eastAsia="Meiryo" w:hAnsi="Meiryo"/>
          <w:color w:val="243B53"/>
          <w:sz w:val="21"/>
          <w:szCs w:val="21"/>
        </w:rPr>
        <w:t xml:space="preserve">正解／解説／該当スライド／法的根拠の区分</w:t>
      </w:r>
    </w:p>
    <w:p>
      <w:pPr>
        <w:spacing w:after="50" w:before="0"/>
      </w:pPr>
      <w:r>
        <w:rPr>
          <w:rFonts w:ascii="Meiryo" w:cs="Meiryo" w:eastAsia="Meiryo" w:hAnsi="Meiryo"/>
          <w:color w:val="5B6B7B"/>
          <w:sz w:val="18"/>
          <w:szCs w:val="18"/>
        </w:rPr>
        <w:t xml:space="preserve">用途：採点・解説用（講師用／自己採点用）</w:t>
      </w:r>
    </w:p>
    <w:p>
      <w:pPr>
        <w:spacing w:after="50" w:before="0"/>
      </w:pPr>
      <w:r>
        <w:rPr>
          <w:rFonts w:ascii="Meiryo" w:cs="Meiryo" w:eastAsia="Meiryo" w:hAnsi="Meiryo"/>
          <w:color w:val="5B6B7B"/>
          <w:sz w:val="18"/>
          <w:szCs w:val="18"/>
        </w:rPr>
        <w:t xml:space="preserve">対応テスト：確認テスト 全12問（各1点・合計12点）</w:t>
      </w:r>
    </w:p>
    <w:p>
      <w:pPr>
        <w:spacing w:after="50" w:before="0"/>
      </w:pPr>
      <w:r>
        <w:rPr>
          <w:rFonts w:ascii="Meiryo" w:cs="Meiryo" w:eastAsia="Meiryo" w:hAnsi="Meiryo"/>
          <w:color w:val="5B6B7B"/>
          <w:sz w:val="18"/>
          <w:szCs w:val="18"/>
        </w:rPr>
        <w:t xml:space="preserve">法令・制度基準日：2026年6月18日　／　版数：要自社記入</w:t>
      </w:r>
    </w:p>
    <w:p>
      <w:pPr>
        <w:spacing w:after="60"/>
      </w:pPr>
    </w:p>
    <w:tbl>
      <w:tblPr>
        <w:tblW w:type="dxa" w:w="9026"/>
        <w:tblBorders>
          <w:top w:val="single" w:color="16314F" w:sz="2"/>
          <w:left w:val="single" w:color="16314F" w:sz="18"/>
          <w:bottom w:val="single" w:color="16314F" w:sz="2"/>
          <w:right w:val="single" w:color="16314F" w:sz="2"/>
        </w:tblBorders>
      </w:tblPr>
      <w:tblGrid>
        <w:gridCol w:w="9026"/>
      </w:tblGrid>
      <w:tr>
        <w:tc>
          <w:tcPr>
            <w:tcW w:type="dxa" w:w="9026"/>
            <w:shd w:fill="E7D9B8" w:val="clear"/>
            <w:tcMar>
              <w:top w:type="dxa" w:w="110"/>
              <w:left w:type="dxa" w:w="170"/>
              <w:bottom w:type="dxa" w:w="110"/>
              <w:right w:type="dxa" w:w="150"/>
            </w:tcMar>
          </w:tcPr>
          <w:p>
            <w:pPr>
              <w:spacing w:after="60" w:before="0"/>
            </w:pPr>
            <w:r>
              <w:rPr>
                <w:rFonts w:ascii="Meiryo" w:cs="Meiryo" w:eastAsia="Meiryo" w:hAnsi="Meiryo"/>
                <w:b/>
                <w:bCs/>
                <w:color w:val="16314F"/>
                <w:sz w:val="20"/>
                <w:szCs w:val="20"/>
              </w:rPr>
              <w:t xml:space="preserve">解説を読むときの区分</w:t>
            </w:r>
          </w:p>
          <w:p>
            <w:pPr>
              <w:spacing w:after="50" w:before="0"/>
            </w:pPr>
            <w:r>
              <w:rPr>
                <w:rFonts w:ascii="Meiryo" w:cs="Meiryo" w:eastAsia="Meiryo" w:hAnsi="Meiryo"/>
                <w:b/>
                <w:bCs/>
                <w:i w:val="false"/>
                <w:iCs w:val="false"/>
                <w:color w:val="B42318"/>
                <w:sz w:val="21"/>
                <w:szCs w:val="21"/>
              </w:rPr>
              <w:t xml:space="preserve">【法令】</w:t>
            </w:r>
            <w:r>
              <w:rPr>
                <w:rFonts w:ascii="Meiryo" w:cs="Meiryo" w:eastAsia="Meiryo" w:hAnsi="Meiryo"/>
                <w:b w:val="false"/>
                <w:bCs w:val="false"/>
                <w:i w:val="false"/>
                <w:iCs w:val="false"/>
                <w:color w:val="263238"/>
                <w:sz w:val="21"/>
                <w:szCs w:val="21"/>
              </w:rPr>
              <w:t xml:space="preserve">　独占禁止法など法令上の禁止・義務に関わる事項。</w:t>
            </w:r>
          </w:p>
          <w:p>
            <w:pPr>
              <w:spacing w:after="50" w:before="0"/>
            </w:pPr>
            <w:r>
              <w:rPr>
                <w:rFonts w:ascii="Meiryo" w:cs="Meiryo" w:eastAsia="Meiryo" w:hAnsi="Meiryo"/>
                <w:b/>
                <w:bCs/>
                <w:i w:val="false"/>
                <w:iCs w:val="false"/>
                <w:color w:val="237A75"/>
                <w:sz w:val="21"/>
                <w:szCs w:val="21"/>
              </w:rPr>
              <w:t xml:space="preserve">【指針】</w:t>
            </w:r>
            <w:r>
              <w:rPr>
                <w:rFonts w:ascii="Meiryo" w:cs="Meiryo" w:eastAsia="Meiryo" w:hAnsi="Meiryo"/>
                <w:b w:val="false"/>
                <w:bCs w:val="false"/>
                <w:i w:val="false"/>
                <w:iCs w:val="false"/>
                <w:color w:val="263238"/>
                <w:sz w:val="21"/>
                <w:szCs w:val="21"/>
              </w:rPr>
              <w:t xml:space="preserve">　公正取引委員会のガイドライン・考え方に基づく事項。</w:t>
            </w:r>
          </w:p>
          <w:p>
            <w:pPr>
              <w:spacing w:after="50" w:before="0"/>
            </w:pPr>
            <w:r>
              <w:rPr>
                <w:rFonts w:ascii="Meiryo" w:cs="Meiryo" w:eastAsia="Meiryo" w:hAnsi="Meiryo"/>
                <w:b/>
                <w:bCs/>
                <w:i w:val="false"/>
                <w:iCs w:val="false"/>
                <w:color w:val="2F6B4F"/>
                <w:sz w:val="21"/>
                <w:szCs w:val="21"/>
              </w:rPr>
              <w:t xml:space="preserve">【推奨実務】</w:t>
            </w:r>
            <w:r>
              <w:rPr>
                <w:rFonts w:ascii="Meiryo" w:cs="Meiryo" w:eastAsia="Meiryo" w:hAnsi="Meiryo"/>
                <w:b w:val="false"/>
                <w:bCs w:val="false"/>
                <w:i w:val="false"/>
                <w:iCs w:val="false"/>
                <w:color w:val="263238"/>
                <w:sz w:val="21"/>
                <w:szCs w:val="21"/>
              </w:rPr>
              <w:t xml:space="preserve">　法令・指針を踏まえた望ましい行動（止める・離脱・記録・報告・相談など）。</w:t>
            </w:r>
          </w:p>
          <w:p>
            <w:pPr>
              <w:spacing w:after="50" w:before="0"/>
            </w:pPr>
            <w:r>
              <w:rPr>
                <w:rFonts w:ascii="Meiryo" w:cs="Meiryo" w:eastAsia="Meiryo" w:hAnsi="Meiryo"/>
                <w:b/>
                <w:bCs/>
                <w:i w:val="false"/>
                <w:iCs w:val="false"/>
                <w:color w:val="243B53"/>
                <w:sz w:val="21"/>
                <w:szCs w:val="21"/>
              </w:rPr>
              <w:t xml:space="preserve">【自社ルール】</w:t>
            </w:r>
            <w:r>
              <w:rPr>
                <w:rFonts w:ascii="Meiryo" w:cs="Meiryo" w:eastAsia="Meiryo" w:hAnsi="Meiryo"/>
                <w:b w:val="false"/>
                <w:bCs w:val="false"/>
                <w:i w:val="false"/>
                <w:iCs w:val="false"/>
                <w:color w:val="263238"/>
                <w:sz w:val="21"/>
                <w:szCs w:val="21"/>
              </w:rPr>
              <w:t xml:space="preserve">　各社の規程・窓口で具体化すべき事項（本資料では相談窓口・承認フロー等を要記入）。</w:t>
            </w:r>
          </w:p>
          <w:p>
            <w:pPr>
              <w:spacing w:after="0" w:before="0"/>
            </w:pPr>
            <w:r>
              <w:rPr>
                <w:rFonts w:ascii="Meiryo" w:cs="Meiryo" w:eastAsia="Meiryo" w:hAnsi="Meiryo"/>
                <w:b w:val="false"/>
                <w:bCs w:val="false"/>
                <w:i w:val="false"/>
                <w:iCs w:val="false"/>
                <w:color w:val="263238"/>
                <w:sz w:val="20"/>
                <w:szCs w:val="20"/>
              </w:rPr>
              <w:t xml:space="preserve">解説は教育目的の要点整理であり、個別事案の最終判断は法務・コンプライアンスの確認に従ってください。</w:t>
            </w:r>
          </w:p>
        </w:tc>
      </w:tr>
    </w:tbl>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第1部　○×問題</w:t>
            </w:r>
          </w:p>
        </w:tc>
      </w:tr>
    </w:tbl>
    <w:tbl>
      <w:tblPr>
        <w:tblW w:type="dxa" w:w="9026"/>
        <w:tblBorders>
          <w:top w:val="none"/>
          <w:left w:val="none"/>
          <w:bottom w:val="none"/>
          <w:right w:val="none"/>
        </w:tblBorders>
      </w:tblPr>
      <w:tblGrid>
        <w:gridCol w:w="760"/>
        <w:gridCol w:w="900"/>
        <w:gridCol w:w="5666"/>
        <w:gridCol w:w="1700"/>
      </w:tblGrid>
      <w:tr>
        <w:trPr>
          <w:tblHeader/>
        </w:trPr>
        <w:tc>
          <w:tcPr>
            <w:tcW w:type="dxa" w:w="76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問</w:t>
            </w:r>
          </w:p>
        </w:tc>
        <w:tc>
          <w:tcPr>
            <w:tcW w:type="dxa" w:w="9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正解</w:t>
            </w:r>
          </w:p>
        </w:tc>
        <w:tc>
          <w:tcPr>
            <w:tcW w:type="dxa" w:w="566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解説（要点）</w:t>
            </w:r>
          </w:p>
        </w:tc>
        <w:tc>
          <w:tcPr>
            <w:tcW w:type="dxa" w:w="17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該当スライド</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1</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F6B4F"/>
                <w:sz w:val="18"/>
                <w:szCs w:val="18"/>
              </w:rPr>
              <w:t xml:space="preserve">○</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法令】不当な取引制限（独占禁止法第2条第6項・第3条）は「契約、協定その他何らの名義をもってするかを問わず」とされ、口頭・会合での申し合わせ・暗黙の了解・紳士協定でも成立し得ます。文書がない＝安全ではありません。</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スライド7・8、ハンドブック2章</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2</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B42318"/>
                <w:sz w:val="18"/>
                <w:szCs w:val="18"/>
              </w:rPr>
              <w:t xml:space="preserve">×</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【法令／推奨実務】値上げの「方向感」「市況感」の共有も、価格カルテルの端緒・証拠になり得ます。価格に関する情報は具体的数値か否かを問わず競合と共有しないのが原則です。</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スライド10・11</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3</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B42318"/>
                <w:sz w:val="18"/>
                <w:szCs w:val="18"/>
              </w:rPr>
              <w:t xml:space="preserve">×</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指針／推奨実務】統計を読むこと自体は通常問題ありませんが、競合間で個社別・直近・将来が分かる粒度や時期で共有するとリスクがあります。匿名化・集計化・過去情報化と共有方法の確認が必要です。</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スライド17・18</w:t>
            </w:r>
          </w:p>
        </w:tc>
      </w:tr>
    </w:tbl>
    <w:p>
      <w:pPr>
        <w:spacing w:after="60"/>
      </w:pPr>
    </w:p>
    <w:tbl>
      <w:tblPr>
        <w:tblW w:type="dxa" w:w="9026"/>
        <w:tblBorders>
          <w:top w:val="none"/>
          <w:left w:val="none"/>
          <w:bottom w:val="none"/>
          <w:right w:val="none"/>
        </w:tblBorders>
      </w:tblPr>
      <w:tblGrid>
        <w:gridCol w:w="9026"/>
      </w:tblGrid>
      <w:tr>
        <w:tc>
          <w:tcPr>
            <w:tcW w:type="dxa" w:w="9026"/>
            <w:shd w:fill="243B53"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第2部　四肢択一</w:t>
            </w:r>
          </w:p>
        </w:tc>
      </w:tr>
    </w:tbl>
    <w:tbl>
      <w:tblPr>
        <w:tblW w:type="dxa" w:w="9026"/>
        <w:tblBorders>
          <w:top w:val="none"/>
          <w:left w:val="none"/>
          <w:bottom w:val="none"/>
          <w:right w:val="none"/>
        </w:tblBorders>
      </w:tblPr>
      <w:tblGrid>
        <w:gridCol w:w="760"/>
        <w:gridCol w:w="900"/>
        <w:gridCol w:w="5666"/>
        <w:gridCol w:w="1700"/>
      </w:tblGrid>
      <w:tr>
        <w:trPr>
          <w:tblHeader/>
        </w:trPr>
        <w:tc>
          <w:tcPr>
            <w:tcW w:type="dxa" w:w="760"/>
            <w:tcBorders>
              <w:top w:val="single" w:color="D4DEE7" w:sz="4"/>
              <w:left w:val="single" w:color="D4DEE7" w:sz="4"/>
              <w:bottom w:val="single" w:color="D4DEE7" w:sz="4"/>
              <w:right w:val="single" w:color="D4DEE7" w:sz="4"/>
            </w:tcBorders>
            <w:shd w:fill="243B53"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問</w:t>
            </w:r>
          </w:p>
        </w:tc>
        <w:tc>
          <w:tcPr>
            <w:tcW w:type="dxa" w:w="900"/>
            <w:tcBorders>
              <w:top w:val="single" w:color="D4DEE7" w:sz="4"/>
              <w:left w:val="single" w:color="D4DEE7" w:sz="4"/>
              <w:bottom w:val="single" w:color="D4DEE7" w:sz="4"/>
              <w:right w:val="single" w:color="D4DEE7" w:sz="4"/>
            </w:tcBorders>
            <w:shd w:fill="243B53"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正解</w:t>
            </w:r>
          </w:p>
        </w:tc>
        <w:tc>
          <w:tcPr>
            <w:tcW w:type="dxa" w:w="5666"/>
            <w:tcBorders>
              <w:top w:val="single" w:color="D4DEE7" w:sz="4"/>
              <w:left w:val="single" w:color="D4DEE7" w:sz="4"/>
              <w:bottom w:val="single" w:color="D4DEE7" w:sz="4"/>
              <w:right w:val="single" w:color="D4DEE7" w:sz="4"/>
            </w:tcBorders>
            <w:shd w:fill="243B53"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解説（要点）</w:t>
            </w:r>
          </w:p>
        </w:tc>
        <w:tc>
          <w:tcPr>
            <w:tcW w:type="dxa" w:w="1700"/>
            <w:tcBorders>
              <w:top w:val="single" w:color="D4DEE7" w:sz="4"/>
              <w:left w:val="single" w:color="D4DEE7" w:sz="4"/>
              <w:bottom w:val="single" w:color="D4DEE7" w:sz="4"/>
              <w:right w:val="single" w:color="D4DEE7" w:sz="4"/>
            </w:tcBorders>
            <w:shd w:fill="243B53"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該当スライド</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4</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F6B4F"/>
                <w:sz w:val="18"/>
                <w:szCs w:val="18"/>
              </w:rPr>
              <w:t xml:space="preserve">c</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【推奨実務】自社が一般公開しているカタログの標準仕様は通常共有しても問題ありません。a値上げ幅・b顧客と取引条件・d入札予定価格は、いずれも競合と共有してはいけない競争上重要な情報です。</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スライド10・18</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5</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F6B4F"/>
                <w:sz w:val="18"/>
                <w:szCs w:val="18"/>
              </w:rPr>
              <w:t xml:space="preserve">c</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【法令】自社で独自に積算して見積・入札することは適法です。a受注予定者の調整・b入札価格を教える・d辞退/順番の調整は、いずれも入札談合（不当な取引制限）に当たり得ます。</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スライド14・24</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6</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F6B4F"/>
                <w:sz w:val="18"/>
                <w:szCs w:val="18"/>
              </w:rPr>
              <w:t xml:space="preserve">b</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【推奨実務】危険な話題が出たら、止める→反対→離脱→記録→報告が基本です。黙って聞く・話を合わせる・自分で違反該当性を判断するのは不適切で、沈黙は同調と見られるおそれがあります。</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スライド22</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7</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37A75"/>
                <w:sz w:val="18"/>
                <w:szCs w:val="18"/>
              </w:rPr>
              <w:t xml:space="preserve">c</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【指針】事業者団体の活動（独占禁止法第8条）自体が直ちに違法になるわけではありませんが、価格・数量・顧客・入札等を扱うと危険です。事務局任せでも自社の責任は免れません。</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スライド15</w:t>
            </w:r>
          </w:p>
        </w:tc>
      </w:tr>
    </w:tbl>
    <w:p>
      <w:pPr>
        <w:spacing w:after="60"/>
      </w:pPr>
    </w:p>
    <w:tbl>
      <w:tblPr>
        <w:tblW w:type="dxa" w:w="9026"/>
        <w:tblBorders>
          <w:top w:val="none"/>
          <w:left w:val="none"/>
          <w:bottom w:val="none"/>
          <w:right w:val="none"/>
        </w:tblBorders>
      </w:tblPr>
      <w:tblGrid>
        <w:gridCol w:w="9026"/>
      </w:tblGrid>
      <w:tr>
        <w:tc>
          <w:tcPr>
            <w:tcW w:type="dxa" w:w="9026"/>
            <w:shd w:fill="237A75"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第3部　ケース判断</w:t>
            </w:r>
          </w:p>
        </w:tc>
      </w:tr>
    </w:tbl>
    <w:tbl>
      <w:tblPr>
        <w:tblW w:type="dxa" w:w="9026"/>
        <w:tblBorders>
          <w:top w:val="none"/>
          <w:left w:val="none"/>
          <w:bottom w:val="none"/>
          <w:right w:val="none"/>
        </w:tblBorders>
      </w:tblPr>
      <w:tblGrid>
        <w:gridCol w:w="760"/>
        <w:gridCol w:w="900"/>
        <w:gridCol w:w="5666"/>
        <w:gridCol w:w="1700"/>
      </w:tblGrid>
      <w:tr>
        <w:trPr>
          <w:tblHeader/>
        </w:trPr>
        <w:tc>
          <w:tcPr>
            <w:tcW w:type="dxa" w:w="760"/>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問</w:t>
            </w:r>
          </w:p>
        </w:tc>
        <w:tc>
          <w:tcPr>
            <w:tcW w:type="dxa" w:w="900"/>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正解</w:t>
            </w:r>
          </w:p>
        </w:tc>
        <w:tc>
          <w:tcPr>
            <w:tcW w:type="dxa" w:w="5666"/>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解説（要点）</w:t>
            </w:r>
          </w:p>
        </w:tc>
        <w:tc>
          <w:tcPr>
            <w:tcW w:type="dxa" w:w="1700"/>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該当スライド</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8</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F6B4F"/>
                <w:sz w:val="18"/>
                <w:szCs w:val="18"/>
              </w:rPr>
              <w:t xml:space="preserve">b</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【推奨実務】懇親会でも基準は同じです。価格（値上げ時期）の話は明確に断り、離脱し、上長・法務へ報告します。濁して続ける・相手の情報だけ聞くのも危険です。</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スライド16・27（ケース①）</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9</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F6B4F"/>
                <w:sz w:val="18"/>
                <w:szCs w:val="18"/>
              </w:rPr>
              <w:t xml:space="preserve">b</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【法令／推奨実務】本命・順番・価格の調整は入札談合に当たり得ます。受けず、連絡（メール等）を保全し、直ちに法務・コンプライアンスへ報告。無視するだけ・自分で判断は不十分です。</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スライド24・29（ケース③）</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10</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F6B4F"/>
                <w:sz w:val="18"/>
                <w:szCs w:val="18"/>
              </w:rPr>
              <w:t xml:space="preserve">b</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【指針／推奨実務】個社別・直近の数量共有はリスクがあります。共有方法（匿名化・集計・過去情報化）を確認し法務に相談するのが適切。団体経由でも安全とは限りません。</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スライド17・31（ケース⑤）</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11</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F6B4F"/>
                <w:sz w:val="18"/>
                <w:szCs w:val="18"/>
              </w:rPr>
              <w:t xml:space="preserve">b</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【推奨実務】競合の非公開情報はAI・ツールへ入力せず、入手経緯も含めて法務・情報システムへ相談します。匿名化すれば自由・AIが決めたから免責、という理解は誤りです（第11話 生成AI研修とも連動）。</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スライド21</w:t>
            </w:r>
          </w:p>
        </w:tc>
      </w:tr>
      <w:tr>
        <w:tc>
          <w:tcPr>
            <w:tcW w:type="dxa" w:w="76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263238"/>
                <w:sz w:val="18"/>
                <w:szCs w:val="18"/>
              </w:rPr>
              <w:t xml:space="preserve">12</w:t>
            </w:r>
          </w:p>
        </w:tc>
        <w:tc>
          <w:tcPr>
            <w:tcW w:type="dxa" w:w="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B42318"/>
                <w:sz w:val="18"/>
                <w:szCs w:val="18"/>
              </w:rPr>
              <w:t xml:space="preserve">c</w:t>
            </w:r>
          </w:p>
        </w:tc>
        <w:tc>
          <w:tcPr>
            <w:tcW w:type="dxa" w:w="566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【推奨実務】誤っているのはc。証拠になりそうなチャットの削除は、かえって重大なリスクになります。メール・チャットの保全、反対・離脱の記録、速やかな報告が正しい対応です。</w:t>
            </w:r>
          </w:p>
        </w:tc>
        <w:tc>
          <w:tcPr>
            <w:tcW w:type="dxa" w:w="17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スライド22・23</w:t>
            </w:r>
          </w:p>
        </w:tc>
      </w:tr>
    </w:tbl>
    <w:p>
      <w:pPr>
        <w:spacing w:after="60"/>
      </w:pPr>
    </w:p>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採点・到達度の目安</w:t>
            </w:r>
          </w:p>
        </w:tc>
      </w:tr>
    </w:tbl>
    <w:tbl>
      <w:tblPr>
        <w:tblW w:type="dxa" w:w="9026"/>
        <w:tblBorders>
          <w:top w:val="none"/>
          <w:left w:val="none"/>
          <w:bottom w:val="none"/>
          <w:right w:val="none"/>
        </w:tblBorders>
      </w:tblPr>
      <w:tblGrid>
        <w:gridCol w:w="2000"/>
        <w:gridCol w:w="7026"/>
      </w:tblGrid>
      <w:tr>
        <w:trPr>
          <w:tblHeader/>
        </w:trPr>
        <w:tc>
          <w:tcPr>
            <w:tcW w:type="dxa" w:w="20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得点</w:t>
            </w:r>
          </w:p>
        </w:tc>
        <w:tc>
          <w:tcPr>
            <w:tcW w:type="dxa" w:w="702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目安</w:t>
            </w:r>
          </w:p>
        </w:tc>
      </w:tr>
      <w:tr>
        <w:tc>
          <w:tcPr>
            <w:tcW w:type="dxa" w:w="2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11〜12点</w:t>
            </w:r>
          </w:p>
        </w:tc>
        <w:tc>
          <w:tcPr>
            <w:tcW w:type="dxa" w:w="70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よく理解できています。日常業務でも本日の行動原則を実践してください。</w:t>
            </w:r>
          </w:p>
        </w:tc>
      </w:tr>
      <w:tr>
        <w:tc>
          <w:tcPr>
            <w:tcW w:type="dxa" w:w="20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8〜10点</w:t>
            </w:r>
          </w:p>
        </w:tc>
        <w:tc>
          <w:tcPr>
            <w:tcW w:type="dxa" w:w="70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おおむね理解できています。間違えた設問の該当スライドを復習してください。</w:t>
            </w:r>
          </w:p>
        </w:tc>
      </w:tr>
      <w:tr>
        <w:tc>
          <w:tcPr>
            <w:tcW w:type="dxa" w:w="2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7点以下</w:t>
            </w:r>
          </w:p>
        </w:tc>
        <w:tc>
          <w:tcPr>
            <w:tcW w:type="dxa" w:w="70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重要ポイントの再確認が必要です。ハンドブックと該当スライドを読み直し、不明点は法務・コンプライアンスへ相談してください。</w:t>
            </w:r>
          </w:p>
        </w:tc>
      </w:tr>
    </w:tbl>
    <w:p>
      <w:pPr>
        <w:spacing w:after="60"/>
      </w:pPr>
    </w:p>
    <w:tbl>
      <w:tblPr>
        <w:tblW w:type="dxa" w:w="9026"/>
        <w:tblBorders>
          <w:top w:val="single" w:color="243B53" w:sz="2"/>
          <w:left w:val="single" w:color="243B53" w:sz="18"/>
          <w:bottom w:val="single" w:color="243B53" w:sz="2"/>
          <w:right w:val="single" w:color="243B53" w:sz="2"/>
        </w:tblBorders>
      </w:tblPr>
      <w:tblGrid>
        <w:gridCol w:w="9026"/>
      </w:tblGrid>
      <w:tr>
        <w:tc>
          <w:tcPr>
            <w:tcW w:type="dxa" w:w="9026"/>
            <w:shd w:fill="F6F8FA" w:val="clear"/>
            <w:tcMar>
              <w:top w:type="dxa" w:w="110"/>
              <w:left w:type="dxa" w:w="170"/>
              <w:bottom w:type="dxa" w:w="110"/>
              <w:right w:type="dxa" w:w="150"/>
            </w:tcMar>
          </w:tcPr>
          <w:p>
            <w:pPr>
              <w:spacing w:after="60" w:before="0"/>
            </w:pPr>
            <w:r>
              <w:rPr>
                <w:rFonts w:ascii="Meiryo" w:cs="Meiryo" w:eastAsia="Meiryo" w:hAnsi="Meiryo"/>
                <w:b/>
                <w:bCs/>
                <w:color w:val="243B53"/>
                <w:sz w:val="20"/>
                <w:szCs w:val="20"/>
              </w:rPr>
              <w:t xml:space="preserve">講師向けメモ</w:t>
            </w:r>
          </w:p>
          <w:p>
            <w:pPr>
              <w:spacing w:after="50" w:before="0"/>
            </w:pPr>
            <w:r>
              <w:rPr>
                <w:rFonts w:ascii="Meiryo" w:cs="Meiryo" w:eastAsia="Meiryo" w:hAnsi="Meiryo"/>
                <w:b w:val="false"/>
                <w:bCs w:val="false"/>
                <w:i w:val="false"/>
                <w:iCs w:val="false"/>
                <w:color w:val="263238"/>
                <w:sz w:val="20"/>
                <w:szCs w:val="20"/>
              </w:rPr>
              <w:t xml:space="preserve">本テストは「違反かどうかの断定」よりも、現場での初動（話さない・離脱・記録・報告・相談）を言語化できるかを重視しています。</w:t>
            </w:r>
          </w:p>
          <w:p>
            <w:pPr>
              <w:spacing w:after="50" w:before="0"/>
            </w:pPr>
            <w:r>
              <w:rPr>
                <w:rFonts w:ascii="Meiryo" w:cs="Meiryo" w:eastAsia="Meiryo" w:hAnsi="Meiryo"/>
                <w:b w:val="false"/>
                <w:bCs w:val="false"/>
                <w:i w:val="false"/>
                <w:iCs w:val="false"/>
                <w:color w:val="263238"/>
                <w:sz w:val="20"/>
                <w:szCs w:val="20"/>
              </w:rPr>
              <w:t xml:space="preserve">ケース判断（問8〜12）では、正解の記号だけでなく「なぜその対応か」を受講者に説明させると効果的です。</w:t>
            </w:r>
          </w:p>
          <w:p>
            <w:pPr>
              <w:spacing w:after="0" w:before="0"/>
            </w:pPr>
            <w:r>
              <w:rPr>
                <w:rFonts w:ascii="Meiryo" w:cs="Meiryo" w:eastAsia="Meiryo" w:hAnsi="Meiryo"/>
                <w:b w:val="false"/>
                <w:bCs w:val="false"/>
                <w:i w:val="false"/>
                <w:iCs w:val="false"/>
                <w:color w:val="263238"/>
                <w:sz w:val="20"/>
                <w:szCs w:val="20"/>
              </w:rPr>
              <w:t xml:space="preserve">解説中の【自社ルール】部分（相談窓口・通報窓口・承認フロー）は、配布前に自社の実際の窓口に置き換えてください。</w:t>
            </w:r>
          </w:p>
        </w:tc>
      </w:tr>
    </w:tbl>
    <w:sectPr>
      <w:footerReference w:type="default" r:id="rId7"/>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EE7" w:sz="4" w:space="6"/>
      </w:pBdr>
      <w:tabs>
        <w:tab w:val="right" w:pos="9026"/>
      </w:tabs>
      <w:spacing w:before="60"/>
    </w:pPr>
    <w:r>
      <w:rPr>
        <w:rFonts w:ascii="Meiryo" w:cs="Meiryo" w:eastAsia="Meiryo" w:hAnsi="Meiryo"/>
        <w:color w:val="5B6B7B"/>
        <w:sz w:val="16"/>
        <w:szCs w:val="16"/>
      </w:rPr>
      <w:t xml:space="preserve">Legal GPT｜独占禁止法研修（第16回）</w:t>
    </w:r>
    <w:r>
      <w:rPr>
        <w:rFonts w:ascii="Meiryo" w:cs="Meiryo" w:eastAsia="Meiryo" w:hAnsi="Meiryo"/>
      </w:rPr>
      <w:t xml:space="preserve">	</w:t>
    </w:r>
    <w:r>
      <w:rPr>
        <w:rFonts w:ascii="Meiryo" w:cs="Meiryo" w:eastAsia="Meiryo" w:hAnsi="Meiryo"/>
        <w:color w:val="5B6B7B"/>
        <w:sz w:val="16"/>
        <w:szCs w:val="16"/>
      </w:rPr>
      <w:fldChar w:fldCharType="begin"/>
      <w:instrText xml:space="preserve">PAGE</w:instrText>
      <w:fldChar w:fldCharType="separate"/>
      <w:fldChar w:fldCharType="end"/>
    </w:r>
    <w:r>
      <w:rPr>
        <w:rFonts w:ascii="Meiryo" w:cs="Meiryo" w:eastAsia="Meiryo" w:hAnsi="Meiryo"/>
        <w:color w:val="5B6B7B"/>
        <w:sz w:val="16"/>
        <w:szCs w:val="16"/>
      </w:rPr>
      <w:t xml:space="preserve"> / </w:t>
    </w:r>
    <w:r>
      <w:rPr>
        <w:rFonts w:ascii="Meiryo" w:cs="Meiryo" w:eastAsia="Meiryo" w:hAnsi="Meiryo"/>
        <w:color w:val="5B6B7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80"/>
      </w:pPr>
    </w:lvl>
    <w:lvl w:ilvl="1" w15:tentative="1">
      <w:start w:val="1"/>
      <w:numFmt w:val="bullet"/>
      <w:lvlText w:val="–"/>
      <w:lvlJc w:val="left"/>
      <w:pPr>
        <w:ind w:left="840" w:hanging="280"/>
      </w:pPr>
    </w:lvl>
  </w:abstractNum>
  <w:abstractNum w:abstractNumId="3" w15:restartNumberingAfterBreak="0">
    <w:multiLevelType w:val="hybridMultilevel"/>
    <w:lvl w:ilvl="0" w15:tentative="1">
      <w:start w:val="1"/>
      <w:numFmt w:val="decimal"/>
      <w:lvlText w:val="%1."/>
      <w:lvlJc w:val="left"/>
      <w:pPr>
        <w:ind w:left="460" w:hanging="320"/>
      </w:pPr>
    </w:lvl>
  </w:abstractNum>
  <w:abstractNum w:abstractNumId="4" w15:restartNumberingAfterBreak="0">
    <w:multiLevelType w:val="hybridMultilevel"/>
    <w:lvl w:ilvl="0" w15:tentative="1">
      <w:start w:val="1"/>
      <w:numFmt w:val="decimal"/>
      <w:lvlText w:val="%1."/>
      <w:lvlJc w:val="left"/>
      <w:pPr>
        <w:ind w:left="46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20"/>
      <w:outlineLvl w:val="1"/>
    </w:pPr>
    <w:rPr>
      <w:rFonts w:ascii="Meiryo" w:cs="Meiryo" w:eastAsia="Meiryo" w:hAnsi="Meiryo"/>
      <w:b/>
      <w:bCs/>
      <w:color w:val="16314F"/>
      <w:sz w:val="24"/>
      <w:szCs w:val="24"/>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2026-06-23T02:34:02.592Z</dcterms:created>
  <dcterms:modified xsi:type="dcterms:W3CDTF">2026-06-23T02:34:02.592Z</dcterms:modified>
</cp:coreProperties>
</file>

<file path=docProps/custom.xml><?xml version="1.0" encoding="utf-8"?>
<Properties xmlns="http://schemas.openxmlformats.org/officeDocument/2006/custom-properties" xmlns:vt="http://schemas.openxmlformats.org/officeDocument/2006/docPropsVTypes"/>
</file>