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Meiryo" w:cs="Meiryo" w:eastAsia="Meiryo" w:hAnsi="Meiryo"/>
          <w:b/>
          <w:bCs/>
          <w:color w:val="B58A3A"/>
          <w:sz w:val="18"/>
          <w:szCs w:val="18"/>
        </w:rPr>
        <w:t xml:space="preserve">法務・総務のための社内研修資料20選</w:t>
      </w:r>
    </w:p>
    <w:p>
      <w:pPr>
        <w:spacing w:after="40" w:before="0"/>
      </w:pPr>
      <w:r>
        <w:rPr>
          <w:rFonts w:ascii="Meiryo" w:cs="Meiryo" w:eastAsia="Meiryo" w:hAnsi="Meiryo"/>
          <w:b/>
          <w:bCs/>
          <w:color w:val="5B6B7B"/>
          <w:sz w:val="19"/>
          <w:szCs w:val="19"/>
        </w:rPr>
        <w:t xml:space="preserve">第16回　独占禁止法研修</w:t>
      </w:r>
    </w:p>
    <w:p>
      <w:pPr>
        <w:pBdr>
          <w:bottom w:val="single" w:color="B58A3A" w:sz="16" w:space="6"/>
        </w:pBdr>
        <w:spacing w:after="80" w:before="0"/>
      </w:pPr>
      <w:r>
        <w:rPr>
          <w:rFonts w:ascii="Meiryo" w:cs="Meiryo" w:eastAsia="Meiryo" w:hAnsi="Meiryo"/>
          <w:b/>
          <w:bCs/>
          <w:color w:val="16314F"/>
          <w:sz w:val="34"/>
          <w:szCs w:val="34"/>
        </w:rPr>
        <w:t xml:space="preserve">独占禁止法ハンドブック</w:t>
      </w:r>
    </w:p>
    <w:p>
      <w:pPr>
        <w:spacing w:after="80" w:before="60"/>
      </w:pPr>
      <w:r>
        <w:rPr>
          <w:rFonts w:ascii="Meiryo" w:cs="Meiryo" w:eastAsia="Meiryo" w:hAnsi="Meiryo"/>
          <w:color w:val="243B53"/>
          <w:sz w:val="21"/>
          <w:szCs w:val="21"/>
        </w:rPr>
        <w:t xml:space="preserve">競合他社との情報交換・カルテル・入札談合を防ぐ</w:t>
      </w:r>
    </w:p>
    <w:p>
      <w:pPr>
        <w:spacing w:after="50" w:before="0"/>
      </w:pPr>
      <w:r>
        <w:rPr>
          <w:rFonts w:ascii="Meiryo" w:cs="Meiryo" w:eastAsia="Meiryo" w:hAnsi="Meiryo"/>
          <w:color w:val="5B6B7B"/>
          <w:sz w:val="18"/>
          <w:szCs w:val="18"/>
        </w:rPr>
        <w:t xml:space="preserve">対象：全社員・管理職・役員（営業／購買・調達／入札／事業開発／業界団体参加者／代理店管理ほか）</w:t>
      </w:r>
    </w:p>
    <w:p>
      <w:pPr>
        <w:spacing w:after="50" w:before="0"/>
      </w:pPr>
      <w:r>
        <w:rPr>
          <w:rFonts w:ascii="Meiryo" w:cs="Meiryo" w:eastAsia="Meiryo" w:hAnsi="Meiryo"/>
          <w:color w:val="5B6B7B"/>
          <w:sz w:val="18"/>
          <w:szCs w:val="18"/>
        </w:rPr>
        <w:t xml:space="preserve">想定活用：研修テキスト／配布用ハンドブック／日常の参照資料</w:t>
      </w:r>
    </w:p>
    <w:p>
      <w:pPr>
        <w:spacing w:after="50" w:before="0"/>
      </w:pPr>
      <w:r>
        <w:rPr>
          <w:rFonts w:ascii="Meiryo" w:cs="Meiryo" w:eastAsia="Meiryo" w:hAnsi="Meiryo"/>
          <w:color w:val="5B6B7B"/>
          <w:sz w:val="18"/>
          <w:szCs w:val="18"/>
        </w:rPr>
        <w:t xml:space="preserve">法令・制度基準日：2026年6月18日</w:t>
      </w:r>
    </w:p>
    <w:p>
      <w:pPr>
        <w:spacing w:after="50" w:before="0"/>
      </w:pPr>
      <w:r>
        <w:rPr>
          <w:rFonts w:ascii="Meiryo" w:cs="Meiryo" w:eastAsia="Meiryo" w:hAnsi="Meiryo"/>
          <w:color w:val="5B6B7B"/>
          <w:sz w:val="18"/>
          <w:szCs w:val="18"/>
        </w:rPr>
        <w:t xml:space="preserve">発行：要自社記入（法務・コンプライアンス部門）　版数：要自社記入</w:t>
      </w:r>
    </w:p>
    <w:p>
      <w:pPr>
        <w:spacing w:after="60"/>
      </w:pPr>
    </w:p>
    <w:tbl>
      <w:tblPr>
        <w:tblW w:type="dxa" w:w="9026"/>
        <w:tblBorders>
          <w:top w:val="single" w:color="16314F" w:sz="2"/>
          <w:left w:val="single" w:color="16314F" w:sz="18"/>
          <w:bottom w:val="single" w:color="16314F" w:sz="2"/>
          <w:right w:val="single" w:color="16314F" w:sz="2"/>
        </w:tblBorders>
      </w:tblPr>
      <w:tblGrid>
        <w:gridCol w:w="9026"/>
      </w:tblGrid>
      <w:tr>
        <w:tc>
          <w:tcPr>
            <w:tcW w:type="dxa" w:w="9026"/>
            <w:shd w:fill="E7D9B8" w:val="clear"/>
            <w:tcMar>
              <w:top w:type="dxa" w:w="110"/>
              <w:left w:type="dxa" w:w="170"/>
              <w:bottom w:type="dxa" w:w="110"/>
              <w:right w:type="dxa" w:w="150"/>
            </w:tcMar>
          </w:tcPr>
          <w:p>
            <w:pPr>
              <w:spacing w:after="60" w:before="0"/>
            </w:pPr>
            <w:r>
              <w:rPr>
                <w:rFonts w:ascii="Meiryo" w:cs="Meiryo" w:eastAsia="Meiryo" w:hAnsi="Meiryo"/>
                <w:b/>
                <w:bCs/>
                <w:color w:val="16314F"/>
                <w:sz w:val="20"/>
                <w:szCs w:val="20"/>
              </w:rPr>
              <w:t xml:space="preserve">このハンドブックの位置づけ</w:t>
            </w:r>
          </w:p>
          <w:p>
            <w:pPr>
              <w:spacing w:after="50" w:before="0"/>
            </w:pPr>
            <w:r>
              <w:rPr>
                <w:rFonts w:ascii="Meiryo" w:cs="Meiryo" w:eastAsia="Meiryo" w:hAnsi="Meiryo"/>
                <w:b w:val="false"/>
                <w:bCs w:val="false"/>
                <w:i w:val="false"/>
                <w:iCs w:val="false"/>
                <w:color w:val="263238"/>
                <w:sz w:val="20"/>
                <w:szCs w:val="20"/>
              </w:rPr>
              <w:t xml:space="preserve">本資料は、独占禁止法のうち社員がまず注意すべき「カルテル」「入札談合」「競合他社との情報交換」を、現場で判断・行動できるようにまとめた社内教育用ハンドブックです。</w:t>
            </w:r>
          </w:p>
          <w:p>
            <w:pPr>
              <w:spacing w:after="0" w:before="0"/>
            </w:pPr>
            <w:r>
              <w:rPr>
                <w:rFonts w:ascii="Meiryo" w:cs="Meiryo" w:eastAsia="Meiryo" w:hAnsi="Meiryo"/>
                <w:b w:val="false"/>
                <w:bCs w:val="false"/>
                <w:i w:val="false"/>
                <w:iCs w:val="false"/>
                <w:color w:val="263238"/>
                <w:sz w:val="20"/>
                <w:szCs w:val="20"/>
              </w:rPr>
              <w:t xml:space="preserve">本資料だけで独占禁止法コンプライアンス体制が完成するものではありません。最終的な該当性判断・調査対応・課徴金減免（リニエンシー）の判断は行わず、必ず自社の規程と法務・コンプライアンス部門の確認に従ってください。</w:t>
            </w:r>
          </w:p>
        </w:tc>
      </w:tr>
    </w:tbl>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1　独占禁止法とは</w:t>
            </w:r>
          </w:p>
        </w:tc>
      </w:tr>
    </w:tbl>
    <w:p>
      <w:pPr>
        <w:spacing w:after="120" w:before="40" w:line="288"/>
      </w:pPr>
      <w:r>
        <w:rPr>
          <w:rFonts w:ascii="Meiryo" w:cs="Meiryo" w:eastAsia="Meiryo" w:hAnsi="Meiryo"/>
          <w:b w:val="false"/>
          <w:bCs w:val="false"/>
          <w:i w:val="false"/>
          <w:iCs w:val="false"/>
          <w:color w:val="263238"/>
          <w:sz w:val="21"/>
          <w:szCs w:val="21"/>
        </w:rPr>
        <w:t xml:space="preserve">独占禁止法（正式名称：私的独占の禁止及び公正取引の確保に関する法律）は、事業者の公正かつ自由な競争を守り、消費者の利益と国民経済の健全な発達を図ることを目的とする法律です。運用は公正取引委員会（公取委）が担っています。</w:t>
      </w:r>
    </w:p>
    <w:p>
      <w:pPr>
        <w:spacing w:after="120" w:before="40" w:line="288"/>
      </w:pPr>
      <w:r>
        <w:rPr>
          <w:rFonts w:ascii="Meiryo" w:cs="Meiryo" w:eastAsia="Meiryo" w:hAnsi="Meiryo"/>
          <w:b w:val="false"/>
          <w:bCs w:val="false"/>
          <w:i w:val="false"/>
          <w:iCs w:val="false"/>
          <w:color w:val="263238"/>
          <w:sz w:val="21"/>
          <w:szCs w:val="21"/>
        </w:rPr>
        <w:t xml:space="preserve">独占禁止法には、私的独占の禁止、不当な取引制限の禁止、不公正な取引方法の禁止、企業結合規制、事業者団体規制など幅広いテーマがありますが、現場の社員がまず理解すべきなのは次の3つです。</w:t>
      </w:r>
    </w:p>
    <w:tbl>
      <w:tblPr>
        <w:tblW w:type="dxa" w:w="9026"/>
        <w:tblBorders>
          <w:top w:val="none"/>
          <w:left w:val="none"/>
          <w:bottom w:val="none"/>
          <w:right w:val="none"/>
        </w:tblBorders>
      </w:tblPr>
      <w:tblGrid>
        <w:gridCol w:w="2400"/>
        <w:gridCol w:w="4226"/>
        <w:gridCol w:w="2400"/>
      </w:tblGrid>
      <w:tr>
        <w:trPr>
          <w:tblHeader/>
        </w:trPr>
        <w:tc>
          <w:tcPr>
            <w:tcW w:type="dxa" w:w="24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まず押さえる3テーマ</w:t>
            </w:r>
          </w:p>
        </w:tc>
        <w:tc>
          <w:tcPr>
            <w:tcW w:type="dxa" w:w="422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ひとことで言うと</w:t>
            </w:r>
          </w:p>
        </w:tc>
        <w:tc>
          <w:tcPr>
            <w:tcW w:type="dxa" w:w="24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誰が特に注意するか</w:t>
            </w:r>
          </w:p>
        </w:tc>
      </w:tr>
      <w:tr>
        <w:tc>
          <w:tcPr>
            <w:tcW w:type="dxa" w:w="2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B42318"/>
                <w:sz w:val="19"/>
                <w:szCs w:val="19"/>
              </w:rPr>
              <w:t xml:space="preserve">カルテル</w:t>
            </w:r>
          </w:p>
        </w:tc>
        <w:tc>
          <w:tcPr>
            <w:tcW w:type="dxa" w:w="42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競合同士で価格・数量・取引先などの競争を制限する合意</w:t>
            </w:r>
          </w:p>
        </w:tc>
        <w:tc>
          <w:tcPr>
            <w:tcW w:type="dxa" w:w="2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営業・価格決定・経営層・事業部門</w:t>
            </w:r>
          </w:p>
        </w:tc>
      </w:tr>
      <w:tr>
        <w:tc>
          <w:tcPr>
            <w:tcW w:type="dxa" w:w="24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B42318"/>
                <w:sz w:val="19"/>
                <w:szCs w:val="19"/>
              </w:rPr>
              <w:t xml:space="preserve">入札談合</w:t>
            </w:r>
          </w:p>
        </w:tc>
        <w:tc>
          <w:tcPr>
            <w:tcW w:type="dxa" w:w="42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入札・コンペで受注予定者・価格・順番などを事前調整</w:t>
            </w:r>
          </w:p>
        </w:tc>
        <w:tc>
          <w:tcPr>
            <w:tcW w:type="dxa" w:w="24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入札・営業・購買・公共/民間案件担当</w:t>
            </w:r>
          </w:p>
        </w:tc>
      </w:tr>
      <w:tr>
        <w:tc>
          <w:tcPr>
            <w:tcW w:type="dxa" w:w="2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237A75"/>
                <w:sz w:val="19"/>
                <w:szCs w:val="19"/>
              </w:rPr>
              <w:t xml:space="preserve">競合との情報交換</w:t>
            </w:r>
          </w:p>
        </w:tc>
        <w:tc>
          <w:tcPr>
            <w:tcW w:type="dxa" w:w="42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競争上重要な情報の交換。カルテル・談合の端緒や証拠になり得る</w:t>
            </w:r>
          </w:p>
        </w:tc>
        <w:tc>
          <w:tcPr>
            <w:tcW w:type="dxa" w:w="2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全社員（業界団体・展示会・SNS含む）</w:t>
            </w:r>
          </w:p>
        </w:tc>
      </w:tr>
    </w:tbl>
    <w:tbl>
      <w:tblPr>
        <w:tblW w:type="dxa" w:w="9026"/>
        <w:tblBorders>
          <w:top w:val="single" w:color="2F6B4F" w:sz="2"/>
          <w:left w:val="single" w:color="2F6B4F" w:sz="18"/>
          <w:bottom w:val="single" w:color="2F6B4F" w:sz="2"/>
          <w:right w:val="single" w:color="2F6B4F" w:sz="2"/>
        </w:tblBorders>
      </w:tblPr>
      <w:tblGrid>
        <w:gridCol w:w="9026"/>
      </w:tblGrid>
      <w:tr>
        <w:tc>
          <w:tcPr>
            <w:tcW w:type="dxa" w:w="9026"/>
            <w:shd w:fill="E6F2EB" w:val="clear"/>
            <w:tcMar>
              <w:top w:type="dxa" w:w="110"/>
              <w:left w:type="dxa" w:w="170"/>
              <w:bottom w:type="dxa" w:w="110"/>
              <w:right w:type="dxa" w:w="150"/>
            </w:tcMar>
          </w:tcPr>
          <w:p>
            <w:pPr>
              <w:spacing w:after="60" w:before="0"/>
            </w:pPr>
            <w:r>
              <w:rPr>
                <w:rFonts w:ascii="Meiryo" w:cs="Meiryo" w:eastAsia="Meiryo" w:hAnsi="Meiryo"/>
                <w:b/>
                <w:bCs/>
                <w:color w:val="2F6B4F"/>
                <w:sz w:val="20"/>
                <w:szCs w:val="20"/>
              </w:rPr>
              <w:t xml:space="preserve">この研修の基本姿勢</w:t>
            </w:r>
          </w:p>
          <w:p>
            <w:pPr>
              <w:spacing w:after="50" w:before="0"/>
            </w:pPr>
            <w:r>
              <w:rPr>
                <w:rFonts w:ascii="Meiryo" w:cs="Meiryo" w:eastAsia="Meiryo" w:hAnsi="Meiryo"/>
                <w:b w:val="false"/>
                <w:bCs w:val="false"/>
                <w:i w:val="false"/>
                <w:iCs w:val="false"/>
                <w:color w:val="263238"/>
                <w:sz w:val="20"/>
                <w:szCs w:val="20"/>
              </w:rPr>
              <w:t xml:space="preserve">この研修は「競合他社とは一切接触するな」という研修ではありません。展示会・業界団体・共同研究など、正当な接触や協業は数多くあります。</w:t>
            </w:r>
          </w:p>
          <w:p>
            <w:pPr>
              <w:spacing w:after="0" w:before="0"/>
            </w:pPr>
            <w:r>
              <w:rPr>
                <w:rFonts w:ascii="Meiryo" w:cs="Meiryo" w:eastAsia="Meiryo" w:hAnsi="Meiryo"/>
                <w:b w:val="false"/>
                <w:bCs w:val="false"/>
                <w:i w:val="false"/>
                <w:iCs w:val="false"/>
                <w:color w:val="263238"/>
                <w:sz w:val="20"/>
                <w:szCs w:val="20"/>
              </w:rPr>
              <w:t xml:space="preserve">目的は、競争上重要な情報を競合と共有しないこと、危険な話題が出たときに止まれること、そして現場で独断しないことの3点です。</w:t>
            </w:r>
          </w:p>
        </w:tc>
      </w:tr>
    </w:tbl>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2　「不当な取引制限」の考え方</w:t>
            </w:r>
          </w:p>
        </w:tc>
      </w:tr>
    </w:tbl>
    <w:p>
      <w:pPr>
        <w:spacing w:after="120" w:before="40" w:line="288"/>
      </w:pPr>
      <w:r>
        <w:rPr>
          <w:rFonts w:ascii="Meiryo" w:cs="Meiryo" w:eastAsia="Meiryo" w:hAnsi="Meiryo"/>
          <w:b w:val="false"/>
          <w:bCs w:val="false"/>
          <w:i w:val="false"/>
          <w:iCs w:val="false"/>
          <w:color w:val="263238"/>
          <w:sz w:val="21"/>
          <w:szCs w:val="21"/>
        </w:rPr>
        <w:t xml:space="preserve">カルテルと入札談合は、独占禁止法が禁止する「不当な取引制限」（独占禁止法第2条第6項に定義、第3条で禁止）の代表例です。現場では細かい構成要件論よりも、次の4点を理解してください。</w:t>
      </w:r>
    </w:p>
    <w:p>
      <w:pPr>
        <w:pStyle w:val="ListParagraph"/>
        <w:numPr>
          <w:ilvl w:val="0"/>
          <w:numId w:val="2"/>
        </w:numPr>
        <w:spacing w:after="70" w:before="20" w:line="280"/>
      </w:pPr>
      <w:r>
        <w:rPr>
          <w:rFonts w:ascii="Meiryo" w:cs="Meiryo" w:eastAsia="Meiryo" w:hAnsi="Meiryo"/>
          <w:b w:val="false"/>
          <w:bCs w:val="false"/>
          <w:i w:val="false"/>
          <w:iCs w:val="false"/>
          <w:color w:val="263238"/>
          <w:sz w:val="21"/>
          <w:szCs w:val="21"/>
        </w:rPr>
        <w:t xml:space="preserve">競合同士が、価格・数量・取引先・販売地域・受注予定者・入札価格などについて話し合い、競争をやめたり弱めたりする行為が問題になります。</w:t>
      </w:r>
    </w:p>
    <w:p>
      <w:pPr>
        <w:pStyle w:val="ListParagraph"/>
        <w:numPr>
          <w:ilvl w:val="0"/>
          <w:numId w:val="2"/>
        </w:numPr>
        <w:spacing w:after="70" w:before="20" w:line="280"/>
      </w:pPr>
      <w:r>
        <w:rPr>
          <w:rFonts w:ascii="Meiryo" w:cs="Meiryo" w:eastAsia="Meiryo" w:hAnsi="Meiryo"/>
          <w:b w:val="false"/>
          <w:bCs w:val="false"/>
          <w:i w:val="false"/>
          <w:iCs w:val="false"/>
          <w:color w:val="263238"/>
          <w:sz w:val="21"/>
          <w:szCs w:val="21"/>
        </w:rPr>
        <w:t xml:space="preserve">明示の契約書がなくても問題になり得ます。条文上も「契約、協定その他何らの名義をもってするかを問わず」とされており、口頭・会合での合意・メール・チャット・暗黙の了解・紳士協定でも該当し得ます。</w:t>
      </w:r>
    </w:p>
    <w:p>
      <w:pPr>
        <w:pStyle w:val="ListParagraph"/>
        <w:numPr>
          <w:ilvl w:val="0"/>
          <w:numId w:val="2"/>
        </w:numPr>
        <w:spacing w:after="70" w:before="20" w:line="280"/>
      </w:pPr>
      <w:r>
        <w:rPr>
          <w:rFonts w:ascii="Meiryo" w:cs="Meiryo" w:eastAsia="Meiryo" w:hAnsi="Meiryo"/>
          <w:b w:val="false"/>
          <w:bCs w:val="false"/>
          <w:i w:val="false"/>
          <w:iCs w:val="false"/>
          <w:color w:val="263238"/>
          <w:sz w:val="21"/>
          <w:szCs w:val="21"/>
        </w:rPr>
        <w:t xml:space="preserve">実際に値上げや受注調整が実行されていなくても、相談・合意の段階で重大なリスクがあります。</w:t>
      </w:r>
    </w:p>
    <w:p>
      <w:pPr>
        <w:pStyle w:val="ListParagraph"/>
        <w:numPr>
          <w:ilvl w:val="0"/>
          <w:numId w:val="2"/>
        </w:numPr>
        <w:spacing w:after="70" w:before="20" w:line="280"/>
      </w:pPr>
      <w:r>
        <w:rPr>
          <w:rFonts w:ascii="Meiryo" w:cs="Meiryo" w:eastAsia="Meiryo" w:hAnsi="Meiryo"/>
          <w:b w:val="false"/>
          <w:bCs w:val="false"/>
          <w:i w:val="false"/>
          <w:iCs w:val="false"/>
          <w:color w:val="263238"/>
          <w:sz w:val="21"/>
          <w:szCs w:val="21"/>
        </w:rPr>
        <w:t xml:space="preserve">「これはカルテルではない」「情報交換にすぎない」と現場で独断しないでください。該当性の判断は法務・コンプライアンスが行います。</w:t>
      </w:r>
    </w:p>
    <w:tbl>
      <w:tblPr>
        <w:tblW w:type="dxa" w:w="9026"/>
        <w:tblBorders>
          <w:top w:val="single" w:color="B42318" w:sz="2"/>
          <w:left w:val="single" w:color="B42318" w:sz="18"/>
          <w:bottom w:val="single" w:color="B42318" w:sz="2"/>
          <w:right w:val="single" w:color="B42318" w:sz="2"/>
        </w:tblBorders>
      </w:tblPr>
      <w:tblGrid>
        <w:gridCol w:w="9026"/>
      </w:tblGrid>
      <w:tr>
        <w:tc>
          <w:tcPr>
            <w:tcW w:type="dxa" w:w="9026"/>
            <w:shd w:fill="FBE9E7" w:val="clear"/>
            <w:tcMar>
              <w:top w:type="dxa" w:w="110"/>
              <w:left w:type="dxa" w:w="170"/>
              <w:bottom w:type="dxa" w:w="110"/>
              <w:right w:type="dxa" w:w="150"/>
            </w:tcMar>
          </w:tcPr>
          <w:p>
            <w:pPr>
              <w:spacing w:after="60" w:before="0"/>
            </w:pPr>
            <w:r>
              <w:rPr>
                <w:rFonts w:ascii="Meiryo" w:cs="Meiryo" w:eastAsia="Meiryo" w:hAnsi="Meiryo"/>
                <w:b/>
                <w:bCs/>
                <w:color w:val="B42318"/>
                <w:sz w:val="20"/>
                <w:szCs w:val="20"/>
              </w:rPr>
              <w:t xml:space="preserve">よくある誤解（いずれも誤り）</w:t>
            </w:r>
          </w:p>
          <w:p>
            <w:pPr>
              <w:spacing w:after="50" w:before="0"/>
            </w:pPr>
            <w:r>
              <w:rPr>
                <w:rFonts w:ascii="Meiryo" w:cs="Meiryo" w:eastAsia="Meiryo" w:hAnsi="Meiryo"/>
                <w:b/>
                <w:bCs/>
                <w:i w:val="false"/>
                <w:iCs w:val="false"/>
                <w:color w:val="B42318"/>
                <w:sz w:val="21"/>
                <w:szCs w:val="21"/>
              </w:rPr>
              <w:t xml:space="preserve">×「口頭なら証拠が残らないから安全」</w:t>
            </w:r>
            <w:r>
              <w:rPr>
                <w:rFonts w:ascii="Meiryo" w:cs="Meiryo" w:eastAsia="Meiryo" w:hAnsi="Meiryo"/>
                <w:b w:val="false"/>
                <w:bCs w:val="false"/>
                <w:i w:val="false"/>
                <w:iCs w:val="false"/>
                <w:color w:val="263238"/>
                <w:sz w:val="21"/>
                <w:szCs w:val="21"/>
              </w:rPr>
              <w:t xml:space="preserve">　… 口頭・暗黙の了解でも合意は成立し得ます。</w:t>
            </w:r>
          </w:p>
          <w:p>
            <w:pPr>
              <w:spacing w:after="50" w:before="0"/>
            </w:pPr>
            <w:r>
              <w:rPr>
                <w:rFonts w:ascii="Meiryo" w:cs="Meiryo" w:eastAsia="Meiryo" w:hAnsi="Meiryo"/>
                <w:b/>
                <w:bCs/>
                <w:i w:val="false"/>
                <w:iCs w:val="false"/>
                <w:color w:val="B42318"/>
                <w:sz w:val="21"/>
                <w:szCs w:val="21"/>
              </w:rPr>
              <w:t xml:space="preserve">×「情報交換だけなら合意ではないから安全」</w:t>
            </w:r>
            <w:r>
              <w:rPr>
                <w:rFonts w:ascii="Meiryo" w:cs="Meiryo" w:eastAsia="Meiryo" w:hAnsi="Meiryo"/>
                <w:b w:val="false"/>
                <w:bCs w:val="false"/>
                <w:i w:val="false"/>
                <w:iCs w:val="false"/>
                <w:color w:val="263238"/>
                <w:sz w:val="21"/>
                <w:szCs w:val="21"/>
              </w:rPr>
              <w:t xml:space="preserve">　… 情報交換自体がカルテル・談合の端緒や証拠と見られます。</w:t>
            </w:r>
          </w:p>
          <w:p>
            <w:pPr>
              <w:spacing w:after="50" w:before="0"/>
            </w:pPr>
            <w:r>
              <w:rPr>
                <w:rFonts w:ascii="Meiryo" w:cs="Meiryo" w:eastAsia="Meiryo" w:hAnsi="Meiryo"/>
                <w:b/>
                <w:bCs/>
                <w:i w:val="false"/>
                <w:iCs w:val="false"/>
                <w:color w:val="B42318"/>
                <w:sz w:val="21"/>
                <w:szCs w:val="21"/>
              </w:rPr>
              <w:t xml:space="preserve">×「価格そのものではなく値上げの方向感ならよい」</w:t>
            </w:r>
            <w:r>
              <w:rPr>
                <w:rFonts w:ascii="Meiryo" w:cs="Meiryo" w:eastAsia="Meiryo" w:hAnsi="Meiryo"/>
                <w:b w:val="false"/>
                <w:bCs w:val="false"/>
                <w:i w:val="false"/>
                <w:iCs w:val="false"/>
                <w:color w:val="263238"/>
                <w:sz w:val="21"/>
                <w:szCs w:val="21"/>
              </w:rPr>
              <w:t xml:space="preserve">　… 方向感・市況感の共有も危険です。</w:t>
            </w:r>
          </w:p>
          <w:p>
            <w:pPr>
              <w:spacing w:after="0" w:before="0"/>
            </w:pPr>
            <w:r>
              <w:rPr>
                <w:rFonts w:ascii="Meiryo" w:cs="Meiryo" w:eastAsia="Meiryo" w:hAnsi="Meiryo"/>
                <w:b/>
                <w:bCs/>
                <w:i w:val="false"/>
                <w:iCs w:val="false"/>
                <w:color w:val="B42318"/>
                <w:sz w:val="21"/>
                <w:szCs w:val="21"/>
              </w:rPr>
              <w:t xml:space="preserve">×「業界慣行だから問題ない」</w:t>
            </w:r>
            <w:r>
              <w:rPr>
                <w:rFonts w:ascii="Meiryo" w:cs="Meiryo" w:eastAsia="Meiryo" w:hAnsi="Meiryo"/>
                <w:b w:val="false"/>
                <w:bCs w:val="false"/>
                <w:i w:val="false"/>
                <w:iCs w:val="false"/>
                <w:color w:val="263238"/>
                <w:sz w:val="21"/>
                <w:szCs w:val="21"/>
              </w:rPr>
              <w:t xml:space="preserve">　… 慣行であっても違反は違反です。</w:t>
            </w:r>
          </w:p>
        </w:tc>
      </w:tr>
    </w:tbl>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3　カルテル</w:t>
            </w:r>
          </w:p>
        </w:tc>
      </w:tr>
    </w:tbl>
    <w:p>
      <w:pPr>
        <w:spacing w:after="120" w:before="40" w:line="288"/>
      </w:pPr>
      <w:r>
        <w:rPr>
          <w:rFonts w:ascii="Meiryo" w:cs="Meiryo" w:eastAsia="Meiryo" w:hAnsi="Meiryo"/>
          <w:b w:val="false"/>
          <w:bCs w:val="false"/>
          <w:i w:val="false"/>
          <w:iCs w:val="false"/>
          <w:color w:val="263238"/>
          <w:sz w:val="21"/>
          <w:szCs w:val="21"/>
        </w:rPr>
        <w:t xml:space="preserve">カルテルは、競合する事業者同士が、価格・数量・販売先・地域・設備・販売条件などについて競争を制限する合意をする、典型的な独占禁止法違反です。</w:t>
      </w:r>
    </w:p>
    <w:p>
      <w:pPr>
        <w:spacing w:after="80" w:before="160"/>
      </w:pPr>
      <w:r>
        <w:rPr>
          <w:rFonts w:ascii="Meiryo" w:cs="Meiryo" w:eastAsia="Meiryo" w:hAnsi="Meiryo"/>
          <w:b/>
          <w:bCs/>
          <w:color w:val="243B53"/>
          <w:sz w:val="21"/>
          <w:szCs w:val="21"/>
        </w:rPr>
        <w:t xml:space="preserve">競合と話してはいけない代表例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値上げの時期・幅、最低価格、割引率、リベート、キャンペーン条件</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販売数量・生産数量・供給数量、在庫、供給能力の調整</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顧客の配分、販売地域・エリアの配分、案件の配分</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「お互い無理な安売りはやめよう」「業界全体で価格転嫁しよう」といった申し合わせ</w:t>
      </w:r>
    </w:p>
    <w:tbl>
      <w:tblPr>
        <w:tblW w:type="dxa" w:w="9026"/>
        <w:tblBorders>
          <w:top w:val="single" w:color="B42318" w:sz="2"/>
          <w:left w:val="single" w:color="B42318" w:sz="18"/>
          <w:bottom w:val="single" w:color="B42318" w:sz="2"/>
          <w:right w:val="single" w:color="B42318" w:sz="2"/>
        </w:tblBorders>
      </w:tblPr>
      <w:tblGrid>
        <w:gridCol w:w="9026"/>
      </w:tblGrid>
      <w:tr>
        <w:tc>
          <w:tcPr>
            <w:tcW w:type="dxa" w:w="9026"/>
            <w:shd w:fill="FBE9E7" w:val="clear"/>
            <w:tcMar>
              <w:top w:type="dxa" w:w="110"/>
              <w:left w:type="dxa" w:w="170"/>
              <w:bottom w:type="dxa" w:w="110"/>
              <w:right w:type="dxa" w:w="150"/>
            </w:tcMar>
          </w:tcPr>
          <w:p>
            <w:pPr>
              <w:spacing w:after="60" w:before="0"/>
            </w:pPr>
            <w:r>
              <w:rPr>
                <w:rFonts w:ascii="Meiryo" w:cs="Meiryo" w:eastAsia="Meiryo" w:hAnsi="Meiryo"/>
                <w:b/>
                <w:bCs/>
                <w:color w:val="B42318"/>
                <w:sz w:val="20"/>
                <w:szCs w:val="20"/>
              </w:rPr>
              <w:t xml:space="preserve">原材料高・労務費転嫁の落とし穴</w:t>
            </w:r>
          </w:p>
          <w:p>
            <w:pPr>
              <w:spacing w:after="50" w:before="0"/>
            </w:pPr>
            <w:r>
              <w:rPr>
                <w:rFonts w:ascii="Meiryo" w:cs="Meiryo" w:eastAsia="Meiryo" w:hAnsi="Meiryo"/>
                <w:b w:val="false"/>
                <w:bCs w:val="false"/>
                <w:i w:val="false"/>
                <w:iCs w:val="false"/>
                <w:color w:val="263238"/>
                <w:sz w:val="20"/>
                <w:szCs w:val="20"/>
              </w:rPr>
              <w:t xml:space="preserve">原材料価格や労務費の上昇は、各社共通の経営課題です。自社が独自に価格へ転嫁すること自体は問題ありません。</w:t>
            </w:r>
          </w:p>
          <w:p>
            <w:pPr>
              <w:spacing w:after="0" w:before="0"/>
            </w:pPr>
            <w:r>
              <w:rPr>
                <w:rFonts w:ascii="Meiryo" w:cs="Meiryo" w:eastAsia="Meiryo" w:hAnsi="Meiryo"/>
                <w:b w:val="false"/>
                <w:bCs w:val="false"/>
                <w:i w:val="false"/>
                <w:iCs w:val="false"/>
                <w:color w:val="263238"/>
                <w:sz w:val="20"/>
                <w:szCs w:val="20"/>
              </w:rPr>
              <w:t xml:space="preserve">しかし、競合他社と足並みをそろえる形で値上げの時期・幅・転嫁方針を相談・申し合わせることは、価格カルテルそのものになり得ます。コスト上昇への対応も、価格は各社が独自に決定してください。</w:t>
            </w:r>
          </w:p>
        </w:tc>
      </w:tr>
    </w:tbl>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4　入札談合</w:t>
            </w:r>
          </w:p>
        </w:tc>
      </w:tr>
    </w:tbl>
    <w:p>
      <w:pPr>
        <w:spacing w:after="120" w:before="40" w:line="288"/>
      </w:pPr>
      <w:r>
        <w:rPr>
          <w:rFonts w:ascii="Meiryo" w:cs="Meiryo" w:eastAsia="Meiryo" w:hAnsi="Meiryo"/>
          <w:b w:val="false"/>
          <w:bCs w:val="false"/>
          <w:i w:val="false"/>
          <w:iCs w:val="false"/>
          <w:color w:val="263238"/>
          <w:sz w:val="21"/>
          <w:szCs w:val="21"/>
        </w:rPr>
        <w:t xml:space="preserve">入札談合は、入札・コンペに参加する企業同士が、受注予定者・入札価格・見積金額・辞退・不参加・順番などを事前に相談・調整する違反行為です。公共入札に限らず、民間の入札・コンペ・見積合わせでも同じく問題になります。</w:t>
      </w:r>
    </w:p>
    <w:tbl>
      <w:tblPr>
        <w:tblW w:type="dxa" w:w="9026"/>
        <w:tblBorders>
          <w:top w:val="none"/>
          <w:left w:val="none"/>
          <w:bottom w:val="none"/>
          <w:right w:val="none"/>
        </w:tblBorders>
      </w:tblPr>
      <w:tblGrid>
        <w:gridCol w:w="3500"/>
        <w:gridCol w:w="5526"/>
      </w:tblGrid>
      <w:tr>
        <w:trPr>
          <w:tblHeader/>
        </w:trPr>
        <w:tc>
          <w:tcPr>
            <w:tcW w:type="dxa" w:w="3500"/>
            <w:tcBorders>
              <w:top w:val="single" w:color="D4DEE7" w:sz="4"/>
              <w:left w:val="single" w:color="D4DEE7" w:sz="4"/>
              <w:bottom w:val="single" w:color="D4DEE7" w:sz="4"/>
              <w:right w:val="single" w:color="D4DEE7" w:sz="4"/>
            </w:tcBorders>
            <w:shd w:fill="B42318"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入札・見積でやってはいけないこと</w:t>
            </w:r>
          </w:p>
        </w:tc>
        <w:tc>
          <w:tcPr>
            <w:tcW w:type="dxa" w:w="5526"/>
            <w:tcBorders>
              <w:top w:val="single" w:color="D4DEE7" w:sz="4"/>
              <w:left w:val="single" w:color="D4DEE7" w:sz="4"/>
              <w:bottom w:val="single" w:color="D4DEE7" w:sz="4"/>
              <w:right w:val="single" w:color="D4DEE7" w:sz="4"/>
            </w:tcBorders>
            <w:shd w:fill="B42318"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具体例</w:t>
            </w:r>
          </w:p>
        </w:tc>
      </w:tr>
      <w:tr>
        <w:tc>
          <w:tcPr>
            <w:tcW w:type="dxa" w:w="35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受注予定者（本命）の決定</w:t>
            </w:r>
          </w:p>
        </w:tc>
        <w:tc>
          <w:tcPr>
            <w:tcW w:type="dxa" w:w="55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「今回はA社、次回はB社」と順番を決める</w:t>
            </w:r>
          </w:p>
        </w:tc>
      </w:tr>
      <w:tr>
        <w:tc>
          <w:tcPr>
            <w:tcW w:type="dxa" w:w="35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入札価格・見積価格の調整</w:t>
            </w:r>
          </w:p>
        </w:tc>
        <w:tc>
          <w:tcPr>
            <w:tcW w:type="dxa" w:w="55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価格を合わせる／競合に価格を聞く・教える</w:t>
            </w:r>
          </w:p>
        </w:tc>
      </w:tr>
      <w:tr>
        <w:tc>
          <w:tcPr>
            <w:tcW w:type="dxa" w:w="35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辞退・不参加・形式的参加の調整</w:t>
            </w:r>
          </w:p>
        </w:tc>
        <w:tc>
          <w:tcPr>
            <w:tcW w:type="dxa" w:w="55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当て馬・協力入札の依頼や受諾、入札辞退の取り決め</w:t>
            </w:r>
          </w:p>
        </w:tc>
      </w:tr>
      <w:tr>
        <w:tc>
          <w:tcPr>
            <w:tcW w:type="dxa" w:w="35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発注者情報の横流し</w:t>
            </w:r>
          </w:p>
        </w:tc>
        <w:tc>
          <w:tcPr>
            <w:tcW w:type="dxa" w:w="55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発注者から得た予定価格・仕様・参加者情報を競合に共有</w:t>
            </w:r>
          </w:p>
        </w:tc>
      </w:tr>
      <w:tr>
        <w:tc>
          <w:tcPr>
            <w:tcW w:type="dxa" w:w="35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慣行を理由とした調整</w:t>
            </w:r>
          </w:p>
        </w:tc>
        <w:tc>
          <w:tcPr>
            <w:tcW w:type="dxa" w:w="55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過去の落札者・地域慣行を理由に受注者を割り振る</w:t>
            </w:r>
          </w:p>
        </w:tc>
      </w:tr>
    </w:tbl>
    <w:tbl>
      <w:tblPr>
        <w:tblW w:type="dxa" w:w="9026"/>
        <w:tblBorders>
          <w:top w:val="single" w:color="B42318" w:sz="2"/>
          <w:left w:val="single" w:color="B42318" w:sz="18"/>
          <w:bottom w:val="single" w:color="B42318" w:sz="2"/>
          <w:right w:val="single" w:color="B42318" w:sz="2"/>
        </w:tblBorders>
      </w:tblPr>
      <w:tblGrid>
        <w:gridCol w:w="9026"/>
      </w:tblGrid>
      <w:tr>
        <w:tc>
          <w:tcPr>
            <w:tcW w:type="dxa" w:w="9026"/>
            <w:shd w:fill="FBE9E7" w:val="clear"/>
            <w:tcMar>
              <w:top w:type="dxa" w:w="110"/>
              <w:left w:type="dxa" w:w="170"/>
              <w:bottom w:type="dxa" w:w="110"/>
              <w:right w:type="dxa" w:w="150"/>
            </w:tcMar>
          </w:tcPr>
          <w:p>
            <w:pPr>
              <w:spacing w:after="60" w:before="0"/>
            </w:pPr>
            <w:r>
              <w:rPr>
                <w:rFonts w:ascii="Meiryo" w:cs="Meiryo" w:eastAsia="Meiryo" w:hAnsi="Meiryo"/>
                <w:b/>
                <w:bCs/>
                <w:color w:val="B42318"/>
                <w:sz w:val="20"/>
                <w:szCs w:val="20"/>
              </w:rPr>
              <w:t xml:space="preserve">民間案件でも談合リスクはあります</w:t>
            </w:r>
          </w:p>
          <w:p>
            <w:pPr>
              <w:spacing w:after="0" w:before="0"/>
            </w:pPr>
            <w:r>
              <w:rPr>
                <w:rFonts w:ascii="Meiryo" w:cs="Meiryo" w:eastAsia="Meiryo" w:hAnsi="Meiryo"/>
                <w:b w:val="false"/>
                <w:bCs w:val="false"/>
                <w:i w:val="false"/>
                <w:iCs w:val="false"/>
                <w:color w:val="263238"/>
                <w:sz w:val="20"/>
                <w:szCs w:val="20"/>
              </w:rPr>
              <w:t xml:space="preserve">「見積合わせは商慣習だから問題ない」というのは誤りです。競合と見積金額や受注意欲を調整すれば、民間案件でも不当な取引制限になり得ます。</w:t>
            </w:r>
          </w:p>
        </w:tc>
      </w:tr>
    </w:tbl>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5　競合他社との情報交換</w:t>
            </w:r>
          </w:p>
        </w:tc>
      </w:tr>
    </w:tbl>
    <w:p>
      <w:pPr>
        <w:spacing w:after="120" w:before="40" w:line="288"/>
      </w:pPr>
      <w:r>
        <w:rPr>
          <w:rFonts w:ascii="Meiryo" w:cs="Meiryo" w:eastAsia="Meiryo" w:hAnsi="Meiryo"/>
          <w:b w:val="false"/>
          <w:bCs w:val="false"/>
          <w:i w:val="false"/>
          <w:iCs w:val="false"/>
          <w:color w:val="263238"/>
          <w:sz w:val="21"/>
          <w:szCs w:val="21"/>
        </w:rPr>
        <w:t xml:space="preserve">競合他社と競争上重要な情報を交換することは、それ自体がカルテル・談合の端緒、または合意の証拠と見られるリスクがあります。次の情報は、相手が競合であれば原則として共有しないでください。</w:t>
      </w:r>
    </w:p>
    <w:tbl>
      <w:tblPr>
        <w:tblW w:type="dxa" w:w="9026"/>
        <w:tblBorders>
          <w:top w:val="none"/>
          <w:left w:val="none"/>
          <w:bottom w:val="none"/>
          <w:right w:val="none"/>
        </w:tblBorders>
      </w:tblPr>
      <w:tblGrid>
        <w:gridCol w:w="3100"/>
        <w:gridCol w:w="5926"/>
      </w:tblGrid>
      <w:tr>
        <w:trPr>
          <w:tblHeader/>
        </w:trPr>
        <w:tc>
          <w:tcPr>
            <w:tcW w:type="dxa" w:w="3100"/>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話してはいけない情報（競合との間で）</w:t>
            </w:r>
          </w:p>
        </w:tc>
        <w:tc>
          <w:tcPr>
            <w:tcW w:type="dxa" w:w="5926"/>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例</w:t>
            </w:r>
          </w:p>
        </w:tc>
      </w:tr>
      <w:tr>
        <w:tc>
          <w:tcPr>
            <w:tcW w:type="dxa" w:w="3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価格に関する情報</w:t>
            </w:r>
          </w:p>
        </w:tc>
        <w:tc>
          <w:tcPr>
            <w:tcW w:type="dxa" w:w="5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現在・将来の価格、値上げ予定・幅・時期、割引率、リベート</w:t>
            </w:r>
          </w:p>
        </w:tc>
      </w:tr>
      <w:tr>
        <w:tc>
          <w:tcPr>
            <w:tcW w:type="dxa" w:w="31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コスト・採算情報</w:t>
            </w:r>
          </w:p>
        </w:tc>
        <w:tc>
          <w:tcPr>
            <w:tcW w:type="dxa" w:w="59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原価、利益率、採算ライン</w:t>
            </w:r>
          </w:p>
        </w:tc>
      </w:tr>
      <w:tr>
        <w:tc>
          <w:tcPr>
            <w:tcW w:type="dxa" w:w="3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数量・供給情報</w:t>
            </w:r>
          </w:p>
        </w:tc>
        <w:tc>
          <w:tcPr>
            <w:tcW w:type="dxa" w:w="5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販売数量、生産数量、在庫、供給能力</w:t>
            </w:r>
          </w:p>
        </w:tc>
      </w:tr>
      <w:tr>
        <w:tc>
          <w:tcPr>
            <w:tcW w:type="dxa" w:w="31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顧客・地域情報</w:t>
            </w:r>
          </w:p>
        </w:tc>
        <w:tc>
          <w:tcPr>
            <w:tcW w:type="dxa" w:w="59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顧客・販売先・取引先、営業地域・エリア</w:t>
            </w:r>
          </w:p>
        </w:tc>
      </w:tr>
      <w:tr>
        <w:tc>
          <w:tcPr>
            <w:tcW w:type="dxa" w:w="3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入札・見積情報</w:t>
            </w:r>
          </w:p>
        </w:tc>
        <w:tc>
          <w:tcPr>
            <w:tcW w:type="dxa" w:w="5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入札予定、入札価格、見積額、受注意欲、辞退・不参加</w:t>
            </w:r>
          </w:p>
        </w:tc>
      </w:tr>
      <w:tr>
        <w:tc>
          <w:tcPr>
            <w:tcW w:type="dxa" w:w="31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将来計画</w:t>
            </w:r>
          </w:p>
        </w:tc>
        <w:tc>
          <w:tcPr>
            <w:tcW w:type="dxa" w:w="59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販売計画、事業計画、設備投資、新製品、撤退、供給制限、顧客別条件</w:t>
            </w:r>
          </w:p>
        </w:tc>
      </w:tr>
    </w:tbl>
    <w:p>
      <w:pPr>
        <w:spacing w:after="80" w:before="160"/>
      </w:pPr>
      <w:r>
        <w:rPr>
          <w:rFonts w:ascii="Meiryo" w:cs="Meiryo" w:eastAsia="Meiryo" w:hAnsi="Meiryo"/>
          <w:b/>
          <w:bCs/>
          <w:color w:val="243B53"/>
          <w:sz w:val="21"/>
          <w:szCs w:val="21"/>
        </w:rPr>
        <w:t xml:space="preserve">「話してよいこと」もある</w:t>
      </w:r>
    </w:p>
    <w:p>
      <w:pPr>
        <w:spacing w:after="120" w:before="40" w:line="288"/>
      </w:pPr>
      <w:r>
        <w:rPr>
          <w:rFonts w:ascii="Meiryo" w:cs="Meiryo" w:eastAsia="Meiryo" w:hAnsi="Meiryo"/>
          <w:b w:val="false"/>
          <w:bCs w:val="false"/>
          <w:i w:val="false"/>
          <w:iCs w:val="false"/>
          <w:color w:val="263238"/>
          <w:sz w:val="21"/>
          <w:szCs w:val="21"/>
        </w:rPr>
        <w:t xml:space="preserve">すべての会話が禁止されるわけではありません。技術的な一般論、業界の一般的な動向（個社が特定されない範囲）、公開済みのカタログ仕様、安全・品質・法令対応などの一般的テーマは、通常は問題になりません。判断に迷う情報は「共有しない・法務に相談する」を原則にしてください。</w:t>
      </w:r>
    </w:p>
    <w:p>
      <w:pPr>
        <w:spacing w:after="80" w:before="160"/>
      </w:pPr>
      <w:r>
        <w:rPr>
          <w:rFonts w:ascii="Meiryo" w:cs="Meiryo" w:eastAsia="Meiryo" w:hAnsi="Meiryo"/>
          <w:b/>
          <w:bCs/>
          <w:color w:val="243B53"/>
          <w:sz w:val="21"/>
          <w:szCs w:val="21"/>
        </w:rPr>
        <w:t xml:space="preserve">競合から一方的に情報が来たとき（受領時の初動）</w:t>
      </w:r>
    </w:p>
    <w:p>
      <w:pPr>
        <w:spacing w:after="120" w:before="40" w:line="288"/>
      </w:pPr>
      <w:r>
        <w:rPr>
          <w:rFonts w:ascii="Meiryo" w:cs="Meiryo" w:eastAsia="Meiryo" w:hAnsi="Meiryo"/>
          <w:b w:val="false"/>
          <w:bCs w:val="false"/>
          <w:i w:val="false"/>
          <w:iCs w:val="false"/>
          <w:color w:val="263238"/>
          <w:sz w:val="21"/>
          <w:szCs w:val="21"/>
        </w:rPr>
        <w:t xml:space="preserve">自分から話さなくても、競合からメール・チャット・口頭で価格や入札の情報が一方的に送られてくることがあります。受け取った側にもリスクが及ぶため、次のように行動してください。</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「この種の情報は受け取れません」と明確に返し、やり取りを続けない</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受信したメール・チャットは削除せず保全し、上長・法務へ転送・報告する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受け取った情報を社内の価格・入札の検討に使わない</w:t>
      </w:r>
    </w:p>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6　場面別の注意</w:t>
            </w:r>
          </w:p>
        </w:tc>
      </w:tr>
    </w:tbl>
    <w:p>
      <w:pPr>
        <w:pStyle w:val="Heading2"/>
        <w:pBdr>
          <w:left w:val="single" w:color="B58A3A" w:sz="24" w:space="8"/>
        </w:pBdr>
        <w:spacing w:after="120" w:before="220"/>
      </w:pPr>
      <w:r>
        <w:rPr>
          <w:rFonts w:ascii="Meiryo" w:cs="Meiryo" w:eastAsia="Meiryo" w:hAnsi="Meiryo"/>
          <w:b/>
          <w:bCs/>
          <w:color w:val="237A75"/>
          <w:sz w:val="24"/>
          <w:szCs w:val="24"/>
        </w:rPr>
        <w:t xml:space="preserve">業界団体・事業者団体</w:t>
      </w:r>
    </w:p>
    <w:p>
      <w:pPr>
        <w:spacing w:after="120" w:before="40" w:line="288"/>
      </w:pPr>
      <w:r>
        <w:rPr>
          <w:rFonts w:ascii="Meiryo" w:cs="Meiryo" w:eastAsia="Meiryo" w:hAnsi="Meiryo"/>
          <w:b w:val="false"/>
          <w:bCs w:val="false"/>
          <w:i w:val="false"/>
          <w:iCs w:val="false"/>
          <w:color w:val="263238"/>
          <w:sz w:val="21"/>
          <w:szCs w:val="21"/>
        </w:rPr>
        <w:t xml:space="preserve">業界団体の活動自体が直ちに違法になるわけではありません（事業者団体の活動は独占禁止法第8条で規律されています）。ただし、会合・分科会・統計共有・アンケート・共同声明・標準化活動・懇親会の中で、価格・数量・販売先・入札情報などを扱うと危険です。</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議題・出席者・配布資料・議事録を事前/事後に確認する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競争上重要な情報が話題になったら、明確に反対し、発言を止め、離席し、議事録に反対・離脱を残し、報告する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事務局任せにせず、自社としても内容を確認する</w:t>
      </w:r>
    </w:p>
    <w:p>
      <w:pPr>
        <w:pStyle w:val="Heading2"/>
        <w:pBdr>
          <w:left w:val="single" w:color="B58A3A" w:sz="24" w:space="8"/>
        </w:pBdr>
        <w:spacing w:after="120" w:before="220"/>
      </w:pPr>
      <w:r>
        <w:rPr>
          <w:rFonts w:ascii="Meiryo" w:cs="Meiryo" w:eastAsia="Meiryo" w:hAnsi="Meiryo"/>
          <w:b/>
          <w:bCs/>
          <w:color w:val="237A75"/>
          <w:sz w:val="24"/>
          <w:szCs w:val="24"/>
        </w:rPr>
        <w:t xml:space="preserve">懇親会・展示会・セミナー・二次会</w:t>
      </w:r>
    </w:p>
    <w:tbl>
      <w:tblPr>
        <w:tblW w:type="dxa" w:w="9026"/>
        <w:tblBorders>
          <w:top w:val="single" w:color="B42318" w:sz="2"/>
          <w:left w:val="single" w:color="B42318" w:sz="18"/>
          <w:bottom w:val="single" w:color="B42318" w:sz="2"/>
          <w:right w:val="single" w:color="B42318" w:sz="2"/>
        </w:tblBorders>
      </w:tblPr>
      <w:tblGrid>
        <w:gridCol w:w="9026"/>
      </w:tblGrid>
      <w:tr>
        <w:tc>
          <w:tcPr>
            <w:tcW w:type="dxa" w:w="9026"/>
            <w:shd w:fill="FBE9E7" w:val="clear"/>
            <w:tcMar>
              <w:top w:type="dxa" w:w="110"/>
              <w:left w:type="dxa" w:w="170"/>
              <w:bottom w:type="dxa" w:w="110"/>
              <w:right w:type="dxa" w:w="150"/>
            </w:tcMar>
          </w:tcPr>
          <w:p>
            <w:pPr>
              <w:spacing w:after="0" w:before="0"/>
            </w:pPr>
            <w:r>
              <w:rPr>
                <w:rFonts w:ascii="Meiryo" w:cs="Meiryo" w:eastAsia="Meiryo" w:hAnsi="Meiryo"/>
                <w:b w:val="false"/>
                <w:bCs w:val="false"/>
                <w:i w:val="false"/>
                <w:iCs w:val="false"/>
                <w:color w:val="263238"/>
                <w:sz w:val="20"/>
                <w:szCs w:val="20"/>
              </w:rPr>
              <w:t xml:space="preserve">「業務ではない雑談だから」「お酒の席だから」は理由になりません。懇親会・二次会・展示会後の立ち話は、競合との危険な情報交換が最も起きやすい場面です。会合本体と同じ基準で行動してください。</w:t>
            </w:r>
          </w:p>
        </w:tc>
      </w:tr>
    </w:tbl>
    <w:p>
      <w:pPr>
        <w:pStyle w:val="Heading2"/>
        <w:pBdr>
          <w:left w:val="single" w:color="B58A3A" w:sz="24" w:space="8"/>
        </w:pBdr>
        <w:spacing w:after="120" w:before="220"/>
      </w:pPr>
      <w:r>
        <w:rPr>
          <w:rFonts w:ascii="Meiryo" w:cs="Meiryo" w:eastAsia="Meiryo" w:hAnsi="Meiryo"/>
          <w:b/>
          <w:bCs/>
          <w:color w:val="237A75"/>
          <w:sz w:val="24"/>
          <w:szCs w:val="24"/>
        </w:rPr>
        <w:t xml:space="preserve">統計情報・ベンチマーク調査</w:t>
      </w:r>
    </w:p>
    <w:p>
      <w:pPr>
        <w:spacing w:after="120" w:before="40" w:line="288"/>
      </w:pPr>
      <w:r>
        <w:rPr>
          <w:rFonts w:ascii="Meiryo" w:cs="Meiryo" w:eastAsia="Meiryo" w:hAnsi="Meiryo"/>
          <w:b w:val="false"/>
          <w:bCs w:val="false"/>
          <w:i w:val="false"/>
          <w:iCs w:val="false"/>
          <w:color w:val="263238"/>
          <w:sz w:val="21"/>
          <w:szCs w:val="21"/>
        </w:rPr>
        <w:t xml:space="preserve">新聞・官公庁統計・決算資料など、誰でも入手できる情報を読むこと自体は通常問題ありません。しかし、競合間で個社別の価格・数量・販売先・見積・将来方針が分かる形で共有することは危険です。</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統計は、個社情報が推測できないよう集計・匿名化・遅行化（過去情報化）されているか確認する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ベンチマーク調査は、第三者機関の関与、匿名化、過去情報化、集計粒度、参加条件を確認する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直近月の個社別数量などは、たとえ団体経由でも要注意。迷ったら法務へ</w:t>
      </w:r>
    </w:p>
    <w:p>
      <w:pPr>
        <w:pStyle w:val="Heading2"/>
        <w:pBdr>
          <w:left w:val="single" w:color="B58A3A" w:sz="24" w:space="8"/>
        </w:pBdr>
        <w:spacing w:after="120" w:before="220"/>
      </w:pPr>
      <w:r>
        <w:rPr>
          <w:rFonts w:ascii="Meiryo" w:cs="Meiryo" w:eastAsia="Meiryo" w:hAnsi="Meiryo"/>
          <w:b/>
          <w:bCs/>
          <w:color w:val="237A75"/>
          <w:sz w:val="24"/>
          <w:szCs w:val="24"/>
        </w:rPr>
        <w:t xml:space="preserve">共同研究・標準化・共同購買・共同物流</w:t>
      </w:r>
    </w:p>
    <w:p>
      <w:pPr>
        <w:spacing w:after="120" w:before="40" w:line="288"/>
      </w:pPr>
      <w:r>
        <w:rPr>
          <w:rFonts w:ascii="Meiryo" w:cs="Meiryo" w:eastAsia="Meiryo" w:hAnsi="Meiryo"/>
          <w:b w:val="false"/>
          <w:bCs w:val="false"/>
          <w:i w:val="false"/>
          <w:iCs w:val="false"/>
          <w:color w:val="263238"/>
          <w:sz w:val="21"/>
          <w:szCs w:val="21"/>
        </w:rPr>
        <w:t xml:space="preserve">協業自体は正当な経済活動です。ただし、協業の枠を超えて価格・顧客・数量・将来方針の情報が競合間で共有されないよう、目的・範囲・情報遮断（インフォメーション・バリア）を事前に法務と確認してください。</w:t>
      </w:r>
    </w:p>
    <w:p>
      <w:pPr>
        <w:pStyle w:val="Heading2"/>
        <w:pBdr>
          <w:left w:val="single" w:color="B58A3A" w:sz="24" w:space="8"/>
        </w:pBdr>
        <w:spacing w:after="120" w:before="220"/>
      </w:pPr>
      <w:r>
        <w:rPr>
          <w:rFonts w:ascii="Meiryo" w:cs="Meiryo" w:eastAsia="Meiryo" w:hAnsi="Meiryo"/>
          <w:b/>
          <w:bCs/>
          <w:color w:val="237A75"/>
          <w:sz w:val="24"/>
          <w:szCs w:val="24"/>
        </w:rPr>
        <w:t xml:space="preserve">代理店・販売店会合</w:t>
      </w:r>
    </w:p>
    <w:p>
      <w:pPr>
        <w:spacing w:after="120" w:before="40" w:line="288"/>
      </w:pPr>
      <w:r>
        <w:rPr>
          <w:rFonts w:ascii="Meiryo" w:cs="Meiryo" w:eastAsia="Meiryo" w:hAnsi="Meiryo"/>
          <w:b w:val="false"/>
          <w:bCs w:val="false"/>
          <w:i w:val="false"/>
          <w:iCs w:val="false"/>
          <w:color w:val="263238"/>
          <w:sz w:val="21"/>
          <w:szCs w:val="21"/>
        </w:rPr>
        <w:t xml:space="preserve">メーカー主催の代理店会合で「安売り店が困るので販売価格をそろえよう」といった発言が出た場合、再販売価格維持や事業者間の価格調整につながる重大なリスクがあります。メーカー側がその場をまとめることも問題です。発言を制止し、記録し、報告してください。</w:t>
      </w:r>
    </w:p>
    <w:p>
      <w:pPr>
        <w:pStyle w:val="Heading2"/>
        <w:pBdr>
          <w:left w:val="single" w:color="B58A3A" w:sz="24" w:space="8"/>
        </w:pBdr>
        <w:spacing w:after="120" w:before="220"/>
      </w:pPr>
      <w:r>
        <w:rPr>
          <w:rFonts w:ascii="Meiryo" w:cs="Meiryo" w:eastAsia="Meiryo" w:hAnsi="Meiryo"/>
          <w:b/>
          <w:bCs/>
          <w:color w:val="237A75"/>
          <w:sz w:val="24"/>
          <w:szCs w:val="24"/>
        </w:rPr>
        <w:t xml:space="preserve">AI・アルゴリズム・価格決定ツール</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競合と同じ価格設定ツールや外部サービスを使う場合でも、競合の価格方針・将来価格・販売戦略が共有される仕組みになっていないか注意する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AIやアルゴリズムに、競合との価格調整や市場分割をさせてはいけない</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競合他社の非公開情報をAIやツールへ入力しない（生成AI利用ルールとも連動）</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「AIが決めた価格だから責任がない」ということにはなりません</w:t>
      </w:r>
    </w:p>
    <w:tbl>
      <w:tblPr>
        <w:tblW w:type="dxa" w:w="9026"/>
        <w:tblBorders>
          <w:top w:val="none"/>
          <w:left w:val="none"/>
          <w:bottom w:val="none"/>
          <w:right w:val="none"/>
        </w:tblBorders>
      </w:tblPr>
      <w:tblGrid>
        <w:gridCol w:w="9026"/>
      </w:tblGrid>
      <w:tr>
        <w:tc>
          <w:tcPr>
            <w:tcW w:type="dxa" w:w="9026"/>
            <w:shd w:fill="2F6B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7　危険な話題が出たときの離脱・記録・報告</w:t>
            </w:r>
          </w:p>
        </w:tc>
      </w:tr>
    </w:tbl>
    <w:p>
      <w:pPr>
        <w:spacing w:after="120" w:before="40" w:line="288"/>
      </w:pPr>
      <w:r>
        <w:rPr>
          <w:rFonts w:ascii="Meiryo" w:cs="Meiryo" w:eastAsia="Meiryo" w:hAnsi="Meiryo"/>
          <w:b w:val="false"/>
          <w:bCs w:val="false"/>
          <w:i w:val="false"/>
          <w:iCs w:val="false"/>
          <w:color w:val="263238"/>
          <w:sz w:val="21"/>
          <w:szCs w:val="21"/>
        </w:rPr>
        <w:t xml:space="preserve">競合との会話で危険な話題が出たときは、次の流れで行動してください。沈黙して聞いているだけでは、同調・黙認と見られるおそれがあります。</w:t>
      </w:r>
    </w:p>
    <w:tbl>
      <w:tblPr>
        <w:tblW w:type="dxa" w:w="9026"/>
        <w:tblBorders>
          <w:top w:val="none"/>
          <w:left w:val="none"/>
          <w:bottom w:val="none"/>
          <w:right w:val="none"/>
        </w:tblBorders>
      </w:tblPr>
      <w:tblGrid>
        <w:gridCol w:w="2100"/>
        <w:gridCol w:w="6926"/>
      </w:tblGrid>
      <w:tr>
        <w:trPr>
          <w:tblHeader/>
        </w:trPr>
        <w:tc>
          <w:tcPr>
            <w:tcW w:type="dxa" w:w="2100"/>
            <w:tcBorders>
              <w:top w:val="single" w:color="D4DEE7" w:sz="4"/>
              <w:left w:val="single" w:color="D4DEE7" w:sz="4"/>
              <w:bottom w:val="single" w:color="D4DEE7" w:sz="4"/>
              <w:right w:val="single" w:color="D4DEE7" w:sz="4"/>
            </w:tcBorders>
            <w:shd w:fill="2F6B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ステップ</w:t>
            </w:r>
          </w:p>
        </w:tc>
        <w:tc>
          <w:tcPr>
            <w:tcW w:type="dxa" w:w="6926"/>
            <w:tcBorders>
              <w:top w:val="single" w:color="D4DEE7" w:sz="4"/>
              <w:left w:val="single" w:color="D4DEE7" w:sz="4"/>
              <w:bottom w:val="single" w:color="D4DEE7" w:sz="4"/>
              <w:right w:val="single" w:color="D4DEE7" w:sz="4"/>
            </w:tcBorders>
            <w:shd w:fill="2F6B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行動</w:t>
            </w:r>
          </w:p>
        </w:tc>
      </w:tr>
      <w:tr>
        <w:tc>
          <w:tcPr>
            <w:tcW w:type="dxa" w:w="2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2F6B4F"/>
                <w:sz w:val="19"/>
                <w:szCs w:val="19"/>
              </w:rPr>
              <w:t xml:space="preserve">① 止める</w:t>
            </w:r>
          </w:p>
        </w:tc>
        <w:tc>
          <w:tcPr>
            <w:tcW w:type="dxa" w:w="6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危険な話題だと気づいた時点で、自分の発言を止める</w:t>
            </w:r>
          </w:p>
        </w:tc>
      </w:tr>
      <w:tr>
        <w:tc>
          <w:tcPr>
            <w:tcW w:type="dxa" w:w="2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2F6B4F"/>
                <w:sz w:val="19"/>
                <w:szCs w:val="19"/>
              </w:rPr>
              <w:t xml:space="preserve">② 反対する</w:t>
            </w:r>
          </w:p>
        </w:tc>
        <w:tc>
          <w:tcPr>
            <w:tcW w:type="dxa" w:w="6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「その話はできません」と明確に反対の意思を示す（相づち・沈黙で同調と見られない）</w:t>
            </w:r>
          </w:p>
        </w:tc>
      </w:tr>
      <w:tr>
        <w:tc>
          <w:tcPr>
            <w:tcW w:type="dxa" w:w="2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2F6B4F"/>
                <w:sz w:val="19"/>
                <w:szCs w:val="19"/>
              </w:rPr>
              <w:t xml:space="preserve">③ 離脱する</w:t>
            </w:r>
          </w:p>
        </w:tc>
        <w:tc>
          <w:tcPr>
            <w:tcW w:type="dxa" w:w="6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会議・チャット・懇親会からその場で離脱・退席・退室する</w:t>
            </w:r>
          </w:p>
        </w:tc>
      </w:tr>
      <w:tr>
        <w:tc>
          <w:tcPr>
            <w:tcW w:type="dxa" w:w="2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2F6B4F"/>
                <w:sz w:val="19"/>
                <w:szCs w:val="19"/>
              </w:rPr>
              <w:t xml:space="preserve">④ 記録する</w:t>
            </w:r>
          </w:p>
        </w:tc>
        <w:tc>
          <w:tcPr>
            <w:tcW w:type="dxa" w:w="6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誰が・いつ・どこで・何を発言したか、自分が反対・離脱したことを議事録・メモ・メールに残す</w:t>
            </w:r>
          </w:p>
        </w:tc>
      </w:tr>
      <w:tr>
        <w:tc>
          <w:tcPr>
            <w:tcW w:type="dxa" w:w="2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2F6B4F"/>
                <w:sz w:val="19"/>
                <w:szCs w:val="19"/>
              </w:rPr>
              <w:t xml:space="preserve">⑤ 報告する</w:t>
            </w:r>
          </w:p>
        </w:tc>
        <w:tc>
          <w:tcPr>
            <w:tcW w:type="dxa" w:w="6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速やかに上長・法務・コンプライアンスへ報告し、その後の競合接触を止める</w:t>
            </w:r>
          </w:p>
        </w:tc>
      </w:tr>
    </w:tbl>
    <w:tbl>
      <w:tblPr>
        <w:tblW w:type="dxa" w:w="9026"/>
        <w:tblBorders>
          <w:top w:val="single" w:color="B42318" w:sz="2"/>
          <w:left w:val="single" w:color="B42318" w:sz="18"/>
          <w:bottom w:val="single" w:color="B42318" w:sz="2"/>
          <w:right w:val="single" w:color="B42318" w:sz="2"/>
        </w:tblBorders>
      </w:tblPr>
      <w:tblGrid>
        <w:gridCol w:w="9026"/>
      </w:tblGrid>
      <w:tr>
        <w:tc>
          <w:tcPr>
            <w:tcW w:type="dxa" w:w="9026"/>
            <w:shd w:fill="FBE9E7" w:val="clear"/>
            <w:tcMar>
              <w:top w:type="dxa" w:w="110"/>
              <w:left w:type="dxa" w:w="170"/>
              <w:bottom w:type="dxa" w:w="110"/>
              <w:right w:type="dxa" w:w="150"/>
            </w:tcMar>
          </w:tcPr>
          <w:p>
            <w:pPr>
              <w:spacing w:after="60" w:before="0"/>
            </w:pPr>
            <w:r>
              <w:rPr>
                <w:rFonts w:ascii="Meiryo" w:cs="Meiryo" w:eastAsia="Meiryo" w:hAnsi="Meiryo"/>
                <w:b/>
                <w:bCs/>
                <w:color w:val="B42318"/>
                <w:sz w:val="20"/>
                <w:szCs w:val="20"/>
              </w:rPr>
              <w:t xml:space="preserve">証拠は消さない</w:t>
            </w:r>
          </w:p>
          <w:p>
            <w:pPr>
              <w:spacing w:after="0" w:before="0"/>
            </w:pPr>
            <w:r>
              <w:rPr>
                <w:rFonts w:ascii="Meiryo" w:cs="Meiryo" w:eastAsia="Meiryo" w:hAnsi="Meiryo"/>
                <w:b w:val="false"/>
                <w:bCs w:val="false"/>
                <w:i w:val="false"/>
                <w:iCs w:val="false"/>
                <w:color w:val="263238"/>
                <w:sz w:val="20"/>
                <w:szCs w:val="20"/>
              </w:rPr>
              <w:t xml:space="preserve">関連する資料・メール・チャット・議事録・電話メモは、自己判断で削除・改ざんしないでください。削除はかえって重大なリスクになります。保全したうえで法務・コンプライアンスの指示に従ってください。</w:t>
            </w:r>
          </w:p>
        </w:tc>
      </w:tr>
    </w:tbl>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8　違反したらどうなるか</w:t>
            </w:r>
          </w:p>
        </w:tc>
      </w:tr>
    </w:tbl>
    <w:p>
      <w:pPr>
        <w:spacing w:after="120" w:before="40" w:line="288"/>
      </w:pPr>
      <w:r>
        <w:rPr>
          <w:rFonts w:ascii="Meiryo" w:cs="Meiryo" w:eastAsia="Meiryo" w:hAnsi="Meiryo"/>
          <w:b w:val="false"/>
          <w:bCs w:val="false"/>
          <w:i w:val="false"/>
          <w:iCs w:val="false"/>
          <w:color w:val="263238"/>
          <w:sz w:val="21"/>
          <w:szCs w:val="21"/>
        </w:rPr>
        <w:t xml:space="preserve">独占禁止法違反は、会社にも個人にも重大な影響を及ぼします。細かな要件はここでは扱いませんが、概要を理解してください。</w:t>
      </w:r>
    </w:p>
    <w:tbl>
      <w:tblPr>
        <w:tblW w:type="dxa" w:w="9026"/>
        <w:tblBorders>
          <w:top w:val="none"/>
          <w:left w:val="none"/>
          <w:bottom w:val="none"/>
          <w:right w:val="none"/>
        </w:tblBorders>
      </w:tblPr>
      <w:tblGrid>
        <w:gridCol w:w="2100"/>
        <w:gridCol w:w="6926"/>
      </w:tblGrid>
      <w:tr>
        <w:trPr>
          <w:tblHeader/>
        </w:trPr>
        <w:tc>
          <w:tcPr>
            <w:tcW w:type="dxa" w:w="21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対象</w:t>
            </w:r>
          </w:p>
        </w:tc>
        <w:tc>
          <w:tcPr>
            <w:tcW w:type="dxa" w:w="692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主な影響（概要）</w:t>
            </w:r>
          </w:p>
        </w:tc>
      </w:tr>
      <w:tr>
        <w:tc>
          <w:tcPr>
            <w:tcW w:type="dxa" w:w="2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会社</w:t>
            </w:r>
          </w:p>
        </w:tc>
        <w:tc>
          <w:tcPr>
            <w:tcW w:type="dxa" w:w="6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排除措置命令、課徴金（不当な取引制限は原則として対象期間中の売上額の一定割合）、損害賠償、株主代表訴訟のリスク</w:t>
            </w:r>
          </w:p>
        </w:tc>
      </w:tr>
      <w:tr>
        <w:tc>
          <w:tcPr>
            <w:tcW w:type="dxa" w:w="21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個人（役職員）</w:t>
            </w:r>
          </w:p>
        </w:tc>
        <w:tc>
          <w:tcPr>
            <w:tcW w:type="dxa" w:w="69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刑事告発・刑事罰の可能性（不当な取引制限の罪は個人に拘禁刑または罰金、法人にも罰金）、社内処分</w:t>
            </w:r>
          </w:p>
        </w:tc>
      </w:tr>
      <w:tr>
        <w:tc>
          <w:tcPr>
            <w:tcW w:type="dxa" w:w="21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事業活動</w:t>
            </w:r>
          </w:p>
        </w:tc>
        <w:tc>
          <w:tcPr>
            <w:tcW w:type="dxa" w:w="69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公共入札での指名停止・取引停止、報道による信用失墜</w:t>
            </w:r>
          </w:p>
        </w:tc>
      </w:tr>
      <w:tr>
        <w:tc>
          <w:tcPr>
            <w:tcW w:type="dxa" w:w="21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海外案件</w:t>
            </w:r>
          </w:p>
        </w:tc>
        <w:tc>
          <w:tcPr>
            <w:tcW w:type="dxa" w:w="69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外国competition law（海外競争法）の問題が生じ得る</w:t>
            </w:r>
          </w:p>
        </w:tc>
      </w:tr>
    </w:tbl>
    <w:tbl>
      <w:tblPr>
        <w:tblW w:type="dxa" w:w="9026"/>
        <w:tblBorders>
          <w:top w:val="single" w:color="16314F" w:sz="2"/>
          <w:left w:val="single" w:color="16314F" w:sz="18"/>
          <w:bottom w:val="single" w:color="16314F" w:sz="2"/>
          <w:right w:val="single" w:color="16314F" w:sz="2"/>
        </w:tblBorders>
      </w:tblPr>
      <w:tblGrid>
        <w:gridCol w:w="9026"/>
      </w:tblGrid>
      <w:tr>
        <w:tc>
          <w:tcPr>
            <w:tcW w:type="dxa" w:w="9026"/>
            <w:shd w:fill="E7D9B8" w:val="clear"/>
            <w:tcMar>
              <w:top w:type="dxa" w:w="110"/>
              <w:left w:type="dxa" w:w="170"/>
              <w:bottom w:type="dxa" w:w="110"/>
              <w:right w:type="dxa" w:w="150"/>
            </w:tcMar>
          </w:tcPr>
          <w:p>
            <w:pPr>
              <w:spacing w:after="60" w:before="0"/>
            </w:pPr>
            <w:r>
              <w:rPr>
                <w:rFonts w:ascii="Meiryo" w:cs="Meiryo" w:eastAsia="Meiryo" w:hAnsi="Meiryo"/>
                <w:b/>
                <w:bCs/>
                <w:color w:val="16314F"/>
                <w:sz w:val="20"/>
                <w:szCs w:val="20"/>
              </w:rPr>
              <w:t xml:space="preserve">調査・リニエンシーは現場で判断しない</w:t>
            </w:r>
          </w:p>
          <w:p>
            <w:pPr>
              <w:spacing w:after="0" w:before="0"/>
            </w:pPr>
            <w:r>
              <w:rPr>
                <w:rFonts w:ascii="Meiryo" w:cs="Meiryo" w:eastAsia="Meiryo" w:hAnsi="Meiryo"/>
                <w:b w:val="false"/>
                <w:bCs w:val="false"/>
                <w:i w:val="false"/>
                <w:iCs w:val="false"/>
                <w:color w:val="263238"/>
                <w:sz w:val="20"/>
                <w:szCs w:val="20"/>
              </w:rPr>
              <w:t xml:space="preserve">課徴金減免制度（リニエンシー）や当局調査への対応は、申請順位やタイミングが極めて重要で、専門的判断を要します。現場で「自首した方がよいか」などを独断せず、疑いに気づいたら直ちに法務・コンプライアンスへつないでください。</w:t>
            </w:r>
          </w:p>
        </w:tc>
      </w:tr>
    </w:tbl>
    <w:p>
      <w:r>
        <w:br w:type="page"/>
      </w:r>
    </w:p>
    <w:tbl>
      <w:tblPr>
        <w:tblW w:type="dxa" w:w="9026"/>
        <w:tblBorders>
          <w:top w:val="none"/>
          <w:left w:val="none"/>
          <w:bottom w:val="none"/>
          <w:right w:val="none"/>
        </w:tblBorders>
      </w:tblPr>
      <w:tblGrid>
        <w:gridCol w:w="9026"/>
      </w:tblGrid>
      <w:tr>
        <w:tc>
          <w:tcPr>
            <w:tcW w:type="dxa" w:w="9026"/>
            <w:shd w:fill="237A75"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9　競合と話してよい／いけない 早見表</w:t>
            </w:r>
          </w:p>
        </w:tc>
      </w:tr>
    </w:tbl>
    <w:p>
      <w:pPr>
        <w:spacing w:after="120" w:before="40" w:line="288"/>
      </w:pPr>
      <w:r>
        <w:rPr>
          <w:rFonts w:ascii="Meiryo" w:cs="Meiryo" w:eastAsia="Meiryo" w:hAnsi="Meiryo"/>
          <w:b w:val="false"/>
          <w:bCs w:val="false"/>
          <w:i w:val="false"/>
          <w:iCs w:val="false"/>
          <w:color w:val="263238"/>
          <w:sz w:val="21"/>
          <w:szCs w:val="21"/>
        </w:rPr>
        <w:t xml:space="preserve">迷ったときの早見表です。競合（になり得る相手）との間では左列を共有せず、判断に迷う情報は『共有しない・法務に相談する』を原則にしてください。</w:t>
      </w:r>
    </w:p>
    <w:tbl>
      <w:tblPr>
        <w:tblW w:type="dxa" w:w="9026"/>
        <w:tblBorders>
          <w:top w:val="none"/>
          <w:left w:val="none"/>
          <w:bottom w:val="none"/>
          <w:right w:val="none"/>
        </w:tblBorders>
      </w:tblPr>
      <w:tblGrid>
        <w:gridCol w:w="4513"/>
        <w:gridCol w:w="4513"/>
      </w:tblGrid>
      <w:tr>
        <w:trPr>
          <w:tblHeader/>
        </w:trPr>
        <w:tc>
          <w:tcPr>
            <w:tcW w:type="dxa" w:w="4513"/>
            <w:tcBorders>
              <w:top w:val="single" w:color="D4DEE7" w:sz="4"/>
              <w:left w:val="single" w:color="D4DEE7" w:sz="4"/>
              <w:bottom w:val="single" w:color="D4DEE7" w:sz="4"/>
              <w:right w:val="single" w:color="D4DEE7" w:sz="4"/>
            </w:tcBorders>
            <w:shd w:fill="243B53"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9"/>
                <w:szCs w:val="19"/>
              </w:rPr>
              <w:t xml:space="preserve">話してはいけない（競合との間で）</w:t>
            </w:r>
          </w:p>
        </w:tc>
        <w:tc>
          <w:tcPr>
            <w:tcW w:type="dxa" w:w="4513"/>
            <w:tcBorders>
              <w:top w:val="single" w:color="D4DEE7" w:sz="4"/>
              <w:left w:val="single" w:color="D4DEE7" w:sz="4"/>
              <w:bottom w:val="single" w:color="D4DEE7" w:sz="4"/>
              <w:right w:val="single" w:color="D4DEE7" w:sz="4"/>
            </w:tcBorders>
            <w:shd w:fill="243B53"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9"/>
                <w:szCs w:val="19"/>
              </w:rPr>
              <w:t xml:space="preserve">話してよい（一般に問題になりにくい）</w:t>
            </w:r>
          </w:p>
        </w:tc>
      </w:tr>
      <w:tr>
        <w:tc>
          <w:tcPr>
            <w:tcW w:type="dxa" w:w="4513"/>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価格・値上げ時期／幅・割引・リベート</w:t>
            </w:r>
          </w:p>
        </w:tc>
        <w:tc>
          <w:tcPr>
            <w:tcW w:type="dxa" w:w="4513"/>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自社が公開しているカタログの標準仕様</w:t>
            </w:r>
          </w:p>
        </w:tc>
      </w:tr>
      <w:tr>
        <w:tc>
          <w:tcPr>
            <w:tcW w:type="dxa" w:w="4513"/>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原価・利益率・採算ライン</w:t>
            </w:r>
          </w:p>
        </w:tc>
        <w:tc>
          <w:tcPr>
            <w:tcW w:type="dxa" w:w="4513"/>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技術の一般論・規格・安全／品質の一般的事項</w:t>
            </w:r>
          </w:p>
        </w:tc>
      </w:tr>
      <w:tr>
        <w:tc>
          <w:tcPr>
            <w:tcW w:type="dxa" w:w="4513"/>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販売／生産数量・在庫・供給能力</w:t>
            </w:r>
          </w:p>
        </w:tc>
        <w:tc>
          <w:tcPr>
            <w:tcW w:type="dxa" w:w="4513"/>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公表済みの決算情報など（共有の粒度・時期に注意）</w:t>
            </w:r>
          </w:p>
        </w:tc>
      </w:tr>
      <w:tr>
        <w:tc>
          <w:tcPr>
            <w:tcW w:type="dxa" w:w="4513"/>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顧客・取引先・販売地域・案件配分</w:t>
            </w:r>
          </w:p>
        </w:tc>
        <w:tc>
          <w:tcPr>
            <w:tcW w:type="dxa" w:w="4513"/>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一般的な業界動向（個社が特定されない範囲）</w:t>
            </w:r>
          </w:p>
        </w:tc>
      </w:tr>
      <w:tr>
        <w:tc>
          <w:tcPr>
            <w:tcW w:type="dxa" w:w="4513"/>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入札予定・入札／見積価格・受注意欲・辞退</w:t>
            </w:r>
          </w:p>
        </w:tc>
        <w:tc>
          <w:tcPr>
            <w:tcW w:type="dxa" w:w="4513"/>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自社単独での積算・見積・入札</w:t>
            </w:r>
          </w:p>
        </w:tc>
      </w:tr>
      <w:tr>
        <w:tc>
          <w:tcPr>
            <w:tcW w:type="dxa" w:w="4513"/>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競合から聞いた非公開情報の社内利用</w:t>
            </w:r>
          </w:p>
        </w:tc>
        <w:tc>
          <w:tcPr>
            <w:tcW w:type="dxa" w:w="4513"/>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9"/>
                <w:szCs w:val="19"/>
              </w:rPr>
              <w:t xml:space="preserve">法令対応・コンプライアンスの一般的な情報</w:t>
            </w:r>
          </w:p>
        </w:tc>
      </w:tr>
    </w:tbl>
    <w:tbl>
      <w:tblPr>
        <w:tblW w:type="dxa" w:w="9026"/>
        <w:tblBorders>
          <w:top w:val="none"/>
          <w:left w:val="none"/>
          <w:bottom w:val="none"/>
          <w:right w:val="none"/>
        </w:tblBorders>
      </w:tblPr>
      <w:tblGrid>
        <w:gridCol w:w="9026"/>
      </w:tblGrid>
      <w:tr>
        <w:tc>
          <w:tcPr>
            <w:tcW w:type="dxa" w:w="9026"/>
            <w:shd w:fill="2F6B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10　社員の行動10原則</w:t>
            </w:r>
          </w:p>
        </w:tc>
      </w:tr>
    </w:tbl>
    <w:p>
      <w:pPr>
        <w:spacing w:after="120" w:before="40" w:line="288"/>
      </w:pPr>
      <w:r>
        <w:rPr>
          <w:rFonts w:ascii="Meiryo" w:cs="Meiryo" w:eastAsia="Meiryo" w:hAnsi="Meiryo"/>
          <w:b w:val="false"/>
          <w:bCs w:val="false"/>
          <w:i w:val="false"/>
          <w:iCs w:val="false"/>
          <w:color w:val="263238"/>
          <w:sz w:val="21"/>
          <w:szCs w:val="21"/>
        </w:rPr>
        <w:t xml:space="preserve">最後に、この研修で身につけてほしい10の行動原則をまとめます。迷ったときはこのページに戻ってください。</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競合とは、価格・値上げ・割引・数量・顧客・地域・取引先・入札・見積・受注意欲・将来計画を話さない。</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原材料高・労務費の上昇への対応も、価格は各社が独自に決める（競合と足並みをそろえない）。</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入札・コンペでは、受注予定者・価格・辞退・不参加・順番・見積合わせを競合と調整しない。</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発注者から得た予定価格・仕様・参加者情報を競合に共有しない。</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業界団体・懇親会・展示会・セミナー・SNS・チャットでも、同じ基準で行動する。</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公表情報・過去情報・統計情報でも、共有の粒度・方法・時期・相手に注意する。</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競合から危険な情報が来たら、受け取らず、保全し、報告する。</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危険な話題が出たら、止める→反対→離脱→記録→報告。沈黙で同調しない。</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資料・メール・チャット・議事録を自己判断で削除・改ざんしない。</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該当性判断・調査対応・リニエンシーを現場で独断せず、必ず法務・コンプライアンスへつなぐ。</w:t>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11　困ったときの相談先</w:t>
            </w:r>
          </w:p>
        </w:tc>
      </w:tr>
    </w:tbl>
    <w:p>
      <w:pPr>
        <w:spacing w:after="120" w:before="40" w:line="288"/>
      </w:pPr>
      <w:r>
        <w:rPr>
          <w:rFonts w:ascii="Meiryo" w:cs="Meiryo" w:eastAsia="Meiryo" w:hAnsi="Meiryo"/>
          <w:b w:val="false"/>
          <w:bCs w:val="false"/>
          <w:i w:val="false"/>
          <w:iCs w:val="false"/>
          <w:color w:val="263238"/>
          <w:sz w:val="21"/>
          <w:szCs w:val="21"/>
        </w:rPr>
        <w:t xml:space="preserve">競合との接触・会合・入札で「これは話してよいか」「この会合に出てよいか」「危険な話が出た」と感じたら、自己判断せず、下記へ相談してください。</w:t>
      </w:r>
    </w:p>
    <w:tbl>
      <w:tblPr>
        <w:tblW w:type="dxa" w:w="9026"/>
        <w:tblBorders>
          <w:top w:val="none"/>
          <w:left w:val="none"/>
          <w:bottom w:val="none"/>
          <w:right w:val="none"/>
        </w:tblBorders>
      </w:tblPr>
      <w:tblGrid>
        <w:gridCol w:w="3400"/>
        <w:gridCol w:w="5626"/>
      </w:tblGrid>
      <w:tr>
        <w:trPr>
          <w:tblHeader/>
        </w:trPr>
        <w:tc>
          <w:tcPr>
            <w:tcW w:type="dxa" w:w="34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相談先</w:t>
            </w:r>
          </w:p>
        </w:tc>
        <w:tc>
          <w:tcPr>
            <w:tcW w:type="dxa" w:w="562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連絡方法・備考（自社で記入）</w:t>
            </w:r>
          </w:p>
        </w:tc>
      </w:tr>
      <w:tr>
        <w:tc>
          <w:tcPr>
            <w:tcW w:type="dxa" w:w="3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bCs/>
                <w:color w:val="243B53"/>
                <w:sz w:val="19"/>
                <w:szCs w:val="19"/>
              </w:rPr>
              <w:t xml:space="preserve">【要自社記入：独占禁止法・競合接触に関する相談窓口】</w:t>
            </w:r>
          </w:p>
        </w:tc>
        <w:tc>
          <w:tcPr>
            <w:tcW w:type="dxa" w:w="56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r>
      <w:tr>
        <w:tc>
          <w:tcPr>
            <w:tcW w:type="dxa" w:w="3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法務／コンプライアンス部門</w:t>
            </w:r>
          </w:p>
        </w:tc>
        <w:tc>
          <w:tcPr>
            <w:tcW w:type="dxa" w:w="56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r>
      <w:tr>
        <w:tc>
          <w:tcPr>
            <w:tcW w:type="dxa" w:w="3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上長・所属部門長</w:t>
            </w:r>
          </w:p>
        </w:tc>
        <w:tc>
          <w:tcPr>
            <w:tcW w:type="dxa" w:w="56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r>
      <w:tr>
        <w:tc>
          <w:tcPr>
            <w:tcW w:type="dxa" w:w="3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内部通報窓口（社内）</w:t>
            </w:r>
          </w:p>
        </w:tc>
        <w:tc>
          <w:tcPr>
            <w:tcW w:type="dxa" w:w="56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r>
      <w:tr>
        <w:tc>
          <w:tcPr>
            <w:tcW w:type="dxa" w:w="34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内部通報窓口（社外）</w:t>
            </w:r>
          </w:p>
        </w:tc>
        <w:tc>
          <w:tcPr>
            <w:tcW w:type="dxa" w:w="56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
            </w:r>
          </w:p>
        </w:tc>
      </w:tr>
    </w:tbl>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12　参考資料・注意事項</w:t>
            </w:r>
          </w:p>
        </w:tc>
      </w:tr>
    </w:tbl>
    <w:p>
      <w:pPr>
        <w:spacing w:after="80" w:before="160"/>
      </w:pPr>
      <w:r>
        <w:rPr>
          <w:rFonts w:ascii="Meiryo" w:cs="Meiryo" w:eastAsia="Meiryo" w:hAnsi="Meiryo"/>
          <w:b/>
          <w:bCs/>
          <w:color w:val="243B53"/>
          <w:sz w:val="21"/>
          <w:szCs w:val="21"/>
        </w:rPr>
        <w:t xml:space="preserve">主な参考資料（一次資料・公的資料）</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e-Gov法令検索「私的独占の禁止及び公正取引の確保に関する法律」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公正取引委員会「独占禁止法の規制内容」「企業コンプライアンス」</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公正取引委員会「実効的な独占禁止法コンプライアンスプログラムの整備・運用のためのガイド（令和7年6月改訂版）」</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公正取引委員会「事業者団体の活動に関する独占禁止法上の指針」</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公正取引委員会「公共的な入札に係る事業者及び事業者団体の活動に関する独占禁止法上の指針」</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公正取引委員会「入札談合の防止に向けて」「よくある質問コーナー（独占禁止法）」</w:t>
      </w:r>
    </w:p>
    <w:p>
      <w:pPr>
        <w:spacing w:after="80"/>
      </w:pPr>
    </w:p>
    <w:tbl>
      <w:tblPr>
        <w:tblW w:type="dxa" w:w="9026"/>
        <w:tblBorders>
          <w:top w:val="single" w:color="243B53" w:sz="2"/>
          <w:left w:val="single" w:color="243B53" w:sz="18"/>
          <w:bottom w:val="single" w:color="243B53" w:sz="2"/>
          <w:right w:val="single" w:color="243B53" w:sz="2"/>
        </w:tblBorders>
      </w:tblPr>
      <w:tblGrid>
        <w:gridCol w:w="9026"/>
      </w:tblGrid>
      <w:tr>
        <w:tc>
          <w:tcPr>
            <w:tcW w:type="dxa" w:w="9026"/>
            <w:shd w:fill="F6F8FA" w:val="clear"/>
            <w:tcMar>
              <w:top w:type="dxa" w:w="110"/>
              <w:left w:type="dxa" w:w="170"/>
              <w:bottom w:type="dxa" w:w="110"/>
              <w:right w:type="dxa" w:w="150"/>
            </w:tcMar>
          </w:tcPr>
          <w:p>
            <w:pPr>
              <w:spacing w:after="60" w:before="0"/>
            </w:pPr>
            <w:r>
              <w:rPr>
                <w:rFonts w:ascii="Meiryo" w:cs="Meiryo" w:eastAsia="Meiryo" w:hAnsi="Meiryo"/>
                <w:b/>
                <w:bCs/>
                <w:color w:val="243B53"/>
                <w:sz w:val="20"/>
                <w:szCs w:val="20"/>
              </w:rPr>
              <w:t xml:space="preserve">注意事項</w:t>
            </w:r>
          </w:p>
          <w:p>
            <w:pPr>
              <w:spacing w:after="50" w:before="0"/>
            </w:pPr>
            <w:r>
              <w:rPr>
                <w:rFonts w:ascii="Meiryo" w:cs="Meiryo" w:eastAsia="Meiryo" w:hAnsi="Meiryo"/>
                <w:b w:val="false"/>
                <w:bCs w:val="false"/>
                <w:i w:val="false"/>
                <w:iCs w:val="false"/>
                <w:color w:val="263238"/>
                <w:sz w:val="20"/>
                <w:szCs w:val="20"/>
              </w:rPr>
              <w:t xml:space="preserve">本ハンドブックは社員教育を目的とした一般的な解説であり、個別事案に対する法的助言ではありません。</w:t>
            </w:r>
          </w:p>
          <w:p>
            <w:pPr>
              <w:spacing w:after="50" w:before="0"/>
            </w:pPr>
            <w:r>
              <w:rPr>
                <w:rFonts w:ascii="Meiryo" w:cs="Meiryo" w:eastAsia="Meiryo" w:hAnsi="Meiryo"/>
                <w:b w:val="false"/>
                <w:bCs w:val="false"/>
                <w:i w:val="false"/>
                <w:iCs w:val="false"/>
                <w:color w:val="263238"/>
                <w:sz w:val="20"/>
                <w:szCs w:val="20"/>
              </w:rPr>
              <w:t xml:space="preserve">法令・ガイドラインは改正されることがあります。最新の条文・指針と自社規程を必ず確認してください（本資料の法令・制度基準日：2026年6月18日）。</w:t>
            </w:r>
          </w:p>
          <w:p>
            <w:pPr>
              <w:spacing w:after="0" w:before="0"/>
            </w:pPr>
            <w:r>
              <w:rPr>
                <w:rFonts w:ascii="Meiryo" w:cs="Meiryo" w:eastAsia="Meiryo" w:hAnsi="Meiryo"/>
                <w:b w:val="false"/>
                <w:bCs w:val="false"/>
                <w:i w:val="false"/>
                <w:iCs w:val="false"/>
                <w:color w:val="263238"/>
                <w:sz w:val="20"/>
                <w:szCs w:val="20"/>
              </w:rPr>
              <w:t xml:space="preserve">本資料に記載の区分（法令上の禁止／公取委ガイドライン／自社ルール／推奨実務）を意識し、最終判断は法務・コンプライアンスに確認してください。</w:t>
            </w:r>
          </w:p>
        </w:tc>
      </w:tr>
    </w:tbl>
    <w:sectPr>
      <w:footerReference w:type="default" r:id="rId7"/>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EE7" w:sz="4" w:space="6"/>
      </w:pBdr>
      <w:tabs>
        <w:tab w:val="right" w:pos="9026"/>
      </w:tabs>
      <w:spacing w:before="60"/>
    </w:pPr>
    <w:r>
      <w:rPr>
        <w:rFonts w:ascii="Meiryo" w:cs="Meiryo" w:eastAsia="Meiryo" w:hAnsi="Meiryo"/>
        <w:color w:val="5B6B7B"/>
        <w:sz w:val="16"/>
        <w:szCs w:val="16"/>
      </w:rPr>
      <w:t xml:space="preserve">Legal GPT｜独占禁止法研修（第16回）</w:t>
    </w:r>
    <w:r>
      <w:rPr>
        <w:rFonts w:ascii="Meiryo" w:cs="Meiryo" w:eastAsia="Meiryo" w:hAnsi="Meiryo"/>
      </w:rPr>
      <w:t xml:space="preserve">	</w:t>
    </w:r>
    <w:r>
      <w:rPr>
        <w:rFonts w:ascii="Meiryo" w:cs="Meiryo" w:eastAsia="Meiryo" w:hAnsi="Meiryo"/>
        <w:color w:val="5B6B7B"/>
        <w:sz w:val="16"/>
        <w:szCs w:val="16"/>
      </w:rPr>
      <w:fldChar w:fldCharType="begin"/>
      <w:instrText xml:space="preserve">PAGE</w:instrText>
      <w:fldChar w:fldCharType="separate"/>
      <w:fldChar w:fldCharType="end"/>
    </w:r>
    <w:r>
      <w:rPr>
        <w:rFonts w:ascii="Meiryo" w:cs="Meiryo" w:eastAsia="Meiryo" w:hAnsi="Meiryo"/>
        <w:color w:val="5B6B7B"/>
        <w:sz w:val="16"/>
        <w:szCs w:val="16"/>
      </w:rPr>
      <w:t xml:space="preserve"> / </w:t>
    </w:r>
    <w:r>
      <w:rPr>
        <w:rFonts w:ascii="Meiryo" w:cs="Meiryo" w:eastAsia="Meiryo" w:hAnsi="Meiryo"/>
        <w:color w:val="5B6B7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80"/>
      </w:pPr>
    </w:lvl>
    <w:lvl w:ilvl="1" w15:tentative="1">
      <w:start w:val="1"/>
      <w:numFmt w:val="bullet"/>
      <w:lvlText w:val="–"/>
      <w:lvlJc w:val="left"/>
      <w:pPr>
        <w:ind w:left="840" w:hanging="280"/>
      </w:pPr>
    </w:lvl>
  </w:abstractNum>
  <w:abstractNum w:abstractNumId="3" w15:restartNumberingAfterBreak="0">
    <w:multiLevelType w:val="hybridMultilevel"/>
    <w:lvl w:ilvl="0" w15:tentative="1">
      <w:start w:val="1"/>
      <w:numFmt w:val="decimal"/>
      <w:lvlText w:val="%1."/>
      <w:lvlJc w:val="left"/>
      <w:pPr>
        <w:ind w:left="460" w:hanging="320"/>
      </w:pPr>
    </w:lvl>
  </w:abstractNum>
  <w:abstractNum w:abstractNumId="4" w15:restartNumberingAfterBreak="0">
    <w:multiLevelType w:val="hybridMultilevel"/>
    <w:lvl w:ilvl="0" w15:tentative="1">
      <w:start w:val="1"/>
      <w:numFmt w:val="decimal"/>
      <w:lvlText w:val="%1."/>
      <w:lvlJc w:val="left"/>
      <w:pPr>
        <w:ind w:left="460" w:hanging="32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20"/>
      <w:outlineLvl w:val="1"/>
    </w:pPr>
    <w:rPr>
      <w:rFonts w:ascii="Meiryo" w:cs="Meiryo" w:eastAsia="Meiryo" w:hAnsi="Meiryo"/>
      <w:b/>
      <w:bCs/>
      <w:color w:val="16314F"/>
      <w:sz w:val="24"/>
      <w:szCs w:val="24"/>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2026-06-23T02:36:30.692Z</dcterms:created>
  <dcterms:modified xsi:type="dcterms:W3CDTF">2026-06-23T02:36:30.692Z</dcterms:modified>
</cp:coreProperties>
</file>

<file path=docProps/custom.xml><?xml version="1.0" encoding="utf-8"?>
<Properties xmlns="http://schemas.openxmlformats.org/officeDocument/2006/custom-properties" xmlns:vt="http://schemas.openxmlformats.org/officeDocument/2006/docPropsVTypes"/>
</file>