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Meiryo" w:cs="Meiryo" w:eastAsia="Meiryo" w:hAnsi="Meiryo"/>
          <w:b/>
          <w:bCs/>
          <w:color w:val="B58A3A"/>
          <w:sz w:val="18"/>
          <w:szCs w:val="18"/>
        </w:rPr>
        <w:t xml:space="preserve">法務・総務のための社内研修資料20選</w:t>
      </w:r>
    </w:p>
    <w:p>
      <w:pPr>
        <w:spacing w:after="40" w:before="0"/>
      </w:pPr>
      <w:r>
        <w:rPr>
          <w:rFonts w:ascii="Meiryo" w:cs="Meiryo" w:eastAsia="Meiryo" w:hAnsi="Meiryo"/>
          <w:b/>
          <w:bCs/>
          <w:color w:val="5B6B7B"/>
          <w:sz w:val="19"/>
          <w:szCs w:val="19"/>
        </w:rPr>
        <w:t xml:space="preserve">第16回　独占禁止法研修</w:t>
      </w:r>
    </w:p>
    <w:p>
      <w:pPr>
        <w:pBdr>
          <w:bottom w:val="single" w:color="B58A3A" w:sz="16" w:space="6"/>
        </w:pBdr>
        <w:spacing w:after="80" w:before="0"/>
      </w:pPr>
      <w:r>
        <w:rPr>
          <w:rFonts w:ascii="Meiryo" w:cs="Meiryo" w:eastAsia="Meiryo" w:hAnsi="Meiryo"/>
          <w:b/>
          <w:bCs/>
          <w:color w:val="16314F"/>
          <w:sz w:val="34"/>
          <w:szCs w:val="34"/>
        </w:rPr>
        <w:t xml:space="preserve">講師台本（進行スクリプト）</w:t>
      </w:r>
    </w:p>
    <w:p>
      <w:pPr>
        <w:spacing w:after="80" w:before="60"/>
      </w:pPr>
      <w:r>
        <w:rPr>
          <w:rFonts w:ascii="Meiryo" w:cs="Meiryo" w:eastAsia="Meiryo" w:hAnsi="Meiryo"/>
          <w:color w:val="243B53"/>
          <w:sz w:val="21"/>
          <w:szCs w:val="21"/>
        </w:rPr>
        <w:t xml:space="preserve">スライド1〜36対応・目安45〜55分</w:t>
      </w:r>
    </w:p>
    <w:p>
      <w:pPr>
        <w:spacing w:after="50" w:before="0"/>
      </w:pPr>
      <w:r>
        <w:rPr>
          <w:rFonts w:ascii="Meiryo" w:cs="Meiryo" w:eastAsia="Meiryo" w:hAnsi="Meiryo"/>
          <w:color w:val="5B6B7B"/>
          <w:sz w:val="18"/>
          <w:szCs w:val="18"/>
        </w:rPr>
        <w:t xml:space="preserve">対象：研修講師（法務・コンプライアンス担当、所管部門の登壇者）</w:t>
      </w:r>
    </w:p>
    <w:p>
      <w:pPr>
        <w:spacing w:after="50" w:before="0"/>
      </w:pPr>
      <w:r>
        <w:rPr>
          <w:rFonts w:ascii="Meiryo" w:cs="Meiryo" w:eastAsia="Meiryo" w:hAnsi="Meiryo"/>
          <w:color w:val="5B6B7B"/>
          <w:sz w:val="18"/>
          <w:szCs w:val="18"/>
        </w:rPr>
        <w:t xml:space="preserve">構成：スライドごとの台本＋目安時間／巻末に想定問答（18問）</w:t>
      </w:r>
    </w:p>
    <w:p>
      <w:pPr>
        <w:spacing w:after="50" w:before="0"/>
      </w:pPr>
      <w:r>
        <w:rPr>
          <w:rFonts w:ascii="Meiryo" w:cs="Meiryo" w:eastAsia="Meiryo" w:hAnsi="Meiryo"/>
          <w:color w:val="5B6B7B"/>
          <w:sz w:val="18"/>
          <w:szCs w:val="18"/>
        </w:rPr>
        <w:t xml:space="preserve">法令・制度基準日：2026年6月18日　／　版数：要自社記入</w:t>
      </w:r>
    </w:p>
    <w:p>
      <w:pPr>
        <w:spacing w:after="60"/>
      </w:pPr>
    </w:p>
    <w:tbl>
      <w:tblPr>
        <w:tblW w:type="dxa" w:w="9026"/>
        <w:tblBorders>
          <w:top w:val="single" w:color="16314F" w:sz="2"/>
          <w:left w:val="single" w:color="16314F" w:sz="18"/>
          <w:bottom w:val="single" w:color="16314F" w:sz="2"/>
          <w:right w:val="single" w:color="16314F" w:sz="2"/>
        </w:tblBorders>
      </w:tblPr>
      <w:tblGrid>
        <w:gridCol w:w="9026"/>
      </w:tblGrid>
      <w:tr>
        <w:tc>
          <w:tcPr>
            <w:tcW w:type="dxa" w:w="9026"/>
            <w:shd w:fill="E7D9B8" w:val="clear"/>
            <w:tcMar>
              <w:top w:type="dxa" w:w="110"/>
              <w:left w:type="dxa" w:w="170"/>
              <w:bottom w:type="dxa" w:w="110"/>
              <w:right w:type="dxa" w:w="150"/>
            </w:tcMar>
          </w:tcPr>
          <w:p>
            <w:pPr>
              <w:spacing w:after="60" w:before="0"/>
            </w:pPr>
            <w:r>
              <w:rPr>
                <w:rFonts w:ascii="Meiryo" w:cs="Meiryo" w:eastAsia="Meiryo" w:hAnsi="Meiryo"/>
                <w:b/>
                <w:bCs/>
                <w:color w:val="16314F"/>
                <w:sz w:val="20"/>
                <w:szCs w:val="20"/>
              </w:rPr>
              <w:t xml:space="preserve">この台本の使い方</w:t>
            </w:r>
          </w:p>
          <w:p>
            <w:pPr>
              <w:spacing w:after="50" w:before="0"/>
            </w:pPr>
            <w:r>
              <w:rPr>
                <w:rFonts w:ascii="Meiryo" w:cs="Meiryo" w:eastAsia="Meiryo" w:hAnsi="Meiryo"/>
                <w:b w:val="false"/>
                <w:bCs w:val="false"/>
                <w:i w:val="false"/>
                <w:iCs w:val="false"/>
                <w:color w:val="263238"/>
                <w:sz w:val="20"/>
                <w:szCs w:val="20"/>
              </w:rPr>
              <w:t xml:space="preserve">台本はそのまま読む原稿ではなく、話す内容の骨子です。自社の事例・窓口名に置き換えて使ってください。</w:t>
            </w:r>
          </w:p>
          <w:p>
            <w:pPr>
              <w:spacing w:after="50" w:before="0"/>
            </w:pPr>
            <w:r>
              <w:rPr>
                <w:rFonts w:ascii="Meiryo" w:cs="Meiryo" w:eastAsia="Meiryo" w:hAnsi="Meiryo"/>
                <w:b w:val="false"/>
                <w:bCs w:val="false"/>
                <w:i w:val="false"/>
                <w:iCs w:val="false"/>
                <w:color w:val="263238"/>
                <w:sz w:val="20"/>
                <w:szCs w:val="20"/>
              </w:rPr>
              <w:t xml:space="preserve">目安時間の合計は約51分です。ケース（スライド27〜32）をグループ討議にすると最大55分前後、講師解説のみだと45分前後になります。</w:t>
            </w:r>
          </w:p>
          <w:p>
            <w:pPr>
              <w:spacing w:after="0" w:before="0"/>
            </w:pPr>
            <w:r>
              <w:rPr>
                <w:rFonts w:ascii="Meiryo" w:cs="Meiryo" w:eastAsia="Meiryo" w:hAnsi="Meiryo"/>
                <w:b w:val="false"/>
                <w:bCs w:val="false"/>
                <w:i w:val="false"/>
                <w:iCs w:val="false"/>
                <w:color w:val="263238"/>
                <w:sz w:val="20"/>
                <w:szCs w:val="20"/>
              </w:rPr>
              <w:t xml:space="preserve">強調マーク（★）は、受講者に必ず持ち帰ってほしいポイントです。</w:t>
            </w:r>
          </w:p>
        </w:tc>
      </w:tr>
    </w:tbl>
    <w:p>
      <w:r>
        <w:br w:type="page"/>
      </w:r>
    </w:p>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導入（スライド1〜6）</w:t>
            </w:r>
          </w:p>
        </w:tc>
      </w:tr>
    </w:tbl>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スライド1</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表紙</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本日は独占禁止法、その中でも現場で関わりやすい「カルテル」「入札談合」「競合他社との情報交換」を扱います、と趣旨を一言で示します。</w:t>
      </w:r>
    </w:p>
    <w:p>
      <w:pPr>
        <w:spacing w:after="90" w:before="60" w:line="282"/>
        <w:ind w:left="120"/>
      </w:pPr>
      <w:r>
        <w:rPr>
          <w:rFonts w:ascii="Meiryo" w:cs="Meiryo" w:eastAsia="Meiryo" w:hAnsi="Meiryo"/>
          <w:b w:val="false"/>
          <w:bCs w:val="false"/>
          <w:i w:val="false"/>
          <w:iCs w:val="false"/>
          <w:color w:val="263238"/>
          <w:sz w:val="20"/>
          <w:szCs w:val="20"/>
        </w:rPr>
        <w:t xml:space="preserve">「これは競合と一切話すなという研修ではなく、危険な話題で止まれるようになるための研修です」と最初に安心感を持たせます。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スライド2</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本日のゴール</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到達目標を読み上げます。①話してはいけない情報が分かる ②危険な場面で止まれる ③離脱・記録・報告ができる ④現場で独断しない、の4点に集約されることを伝えます。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スライド3</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導入ケース：競合から「値上げの相談」を受けたら</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3分</w:t>
            </w:r>
          </w:p>
        </w:tc>
      </w:tr>
    </w:tbl>
    <w:p>
      <w:pPr>
        <w:spacing w:after="90" w:before="60" w:line="282"/>
        <w:ind w:left="120"/>
      </w:pPr>
      <w:r>
        <w:rPr>
          <w:rFonts w:ascii="Meiryo" w:cs="Meiryo" w:eastAsia="Meiryo" w:hAnsi="Meiryo"/>
          <w:b w:val="false"/>
          <w:bCs w:val="false"/>
          <w:i w:val="false"/>
          <w:iCs w:val="false"/>
          <w:color w:val="263238"/>
          <w:sz w:val="20"/>
          <w:szCs w:val="20"/>
        </w:rPr>
        <w:t xml:space="preserve">最初に具体的な場面を提示し、受講者に「自分ならどうするか」を10〜20秒考えてもらいます。</w:t>
      </w:r>
    </w:p>
    <w:p>
      <w:pPr>
        <w:spacing w:after="90" w:before="60" w:line="282"/>
        <w:ind w:left="120"/>
      </w:pPr>
      <w:r>
        <w:rPr>
          <w:rFonts w:ascii="Meiryo" w:cs="Meiryo" w:eastAsia="Meiryo" w:hAnsi="Meiryo"/>
          <w:b w:val="false"/>
          <w:bCs w:val="false"/>
          <w:i w:val="false"/>
          <w:iCs w:val="false"/>
          <w:color w:val="263238"/>
          <w:sz w:val="20"/>
          <w:szCs w:val="20"/>
        </w:rPr>
        <w:t xml:space="preserve">「業界全体で値上げしよう」という誘いは、よくある入口であり、最も危険な入口でもあることを示します。結論は後半のケースで回収すると予告します。</w:t>
      </w:r>
    </w:p>
    <w:p>
      <w:pPr>
        <w:spacing w:after="100" w:before="30" w:line="282"/>
        <w:ind w:left="120"/>
      </w:pPr>
      <w:r>
        <w:rPr>
          <w:rFonts w:ascii="Meiryo" w:cs="Meiryo" w:eastAsia="Meiryo" w:hAnsi="Meiryo"/>
          <w:b/>
          <w:bCs/>
          <w:color w:val="B58A3A"/>
          <w:sz w:val="20"/>
          <w:szCs w:val="20"/>
        </w:rPr>
        <w:t xml:space="preserve">★ </w:t>
      </w:r>
      <w:r>
        <w:rPr>
          <w:rFonts w:ascii="Meiryo" w:cs="Meiryo" w:eastAsia="Meiryo" w:hAnsi="Meiryo"/>
          <w:b/>
          <w:bCs/>
          <w:i w:val="false"/>
          <w:iCs w:val="false"/>
          <w:color w:val="243B53"/>
          <w:sz w:val="20"/>
          <w:szCs w:val="20"/>
        </w:rPr>
        <w:t xml:space="preserve">『よくある雑談』に見える場面ほど危険、という感覚を最初に持ってもらう。</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スライド4</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独占禁止法研修は何のためか</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目的（公正な競争を守る／会社と個人を守る）と、非目的（競合との正当な取引・協業まで禁止するものではない）を対で示します。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スライド5</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他の回との違い ― 第16回が扱う範囲</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接待（第14回）・利益相反（第15回）・取適法（第17回）・契約締結権限（第19回）・インサイダー（第20回）との線引きを示し、16回の軸は『競合同士の競争制限』だと確認します。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スライド6</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社員がまず注意すべき 3 テーマ</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2分</w:t>
            </w:r>
          </w:p>
        </w:tc>
      </w:tr>
    </w:tbl>
    <w:p>
      <w:pPr>
        <w:spacing w:after="90" w:before="60" w:line="282"/>
        <w:ind w:left="120"/>
      </w:pPr>
      <w:r>
        <w:rPr>
          <w:rFonts w:ascii="Meiryo" w:cs="Meiryo" w:eastAsia="Meiryo" w:hAnsi="Meiryo"/>
          <w:b w:val="false"/>
          <w:bCs w:val="false"/>
          <w:i w:val="false"/>
          <w:iCs w:val="false"/>
          <w:color w:val="263238"/>
          <w:sz w:val="20"/>
          <w:szCs w:val="20"/>
        </w:rPr>
        <w:t xml:space="preserve">カルテル・入札談合・情報交換の3つを一望させ、以降のスライドはこの3つを掘り下げる構成だと地図を示します。</w:t>
      </w:r>
    </w:p>
    <w:p>
      <w:pPr>
        <w:spacing w:after="100" w:before="30" w:line="282"/>
        <w:ind w:left="120"/>
      </w:pPr>
      <w:r>
        <w:rPr>
          <w:rFonts w:ascii="Meiryo" w:cs="Meiryo" w:eastAsia="Meiryo" w:hAnsi="Meiryo"/>
          <w:b/>
          <w:bCs/>
          <w:color w:val="B58A3A"/>
          <w:sz w:val="20"/>
          <w:szCs w:val="20"/>
        </w:rPr>
        <w:t xml:space="preserve">★ </w:t>
      </w:r>
      <w:r>
        <w:rPr>
          <w:rFonts w:ascii="Meiryo" w:cs="Meiryo" w:eastAsia="Meiryo" w:hAnsi="Meiryo"/>
          <w:b/>
          <w:bCs/>
          <w:i w:val="false"/>
          <w:iCs w:val="false"/>
          <w:color w:val="243B53"/>
          <w:sz w:val="20"/>
          <w:szCs w:val="20"/>
        </w:rPr>
        <w:t xml:space="preserve">情報交換は『合意でなくても危険』。カルテル・談合の端緒であり証拠になり得る。</w:t>
      </w:r>
    </w:p>
    <w:p>
      <w:r>
        <w:br w:type="page"/>
      </w:r>
    </w:p>
    <w:tbl>
      <w:tblPr>
        <w:tblW w:type="dxa" w:w="9026"/>
        <w:tblBorders>
          <w:top w:val="none"/>
          <w:left w:val="none"/>
          <w:bottom w:val="none"/>
          <w:right w:val="none"/>
        </w:tblBorders>
      </w:tblPr>
      <w:tblGrid>
        <w:gridCol w:w="9026"/>
      </w:tblGrid>
      <w:tr>
        <w:tc>
          <w:tcPr>
            <w:tcW w:type="dxa" w:w="9026"/>
            <w:shd w:fill="243B53"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基本の理解（スライド7〜14）</w:t>
            </w:r>
          </w:p>
        </w:tc>
      </w:tr>
    </w:tbl>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スライド7</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カルテルとは</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2分</w:t>
            </w:r>
          </w:p>
        </w:tc>
      </w:tr>
    </w:tbl>
    <w:p>
      <w:pPr>
        <w:spacing w:after="90" w:before="60" w:line="282"/>
        <w:ind w:left="120"/>
      </w:pPr>
      <w:r>
        <w:rPr>
          <w:rFonts w:ascii="Meiryo" w:cs="Meiryo" w:eastAsia="Meiryo" w:hAnsi="Meiryo"/>
          <w:b w:val="false"/>
          <w:bCs w:val="false"/>
          <w:i w:val="false"/>
          <w:iCs w:val="false"/>
          <w:color w:val="263238"/>
          <w:sz w:val="20"/>
          <w:szCs w:val="20"/>
        </w:rPr>
        <w:t xml:space="preserve">競合同士が価格・数量・取引先・地域などの競争を制限する合意であること、不当な取引制限（第2条第6項・第3条）に当たることを説明します。</w:t>
      </w:r>
    </w:p>
    <w:p>
      <w:pPr>
        <w:spacing w:after="100" w:before="30" w:line="282"/>
        <w:ind w:left="120"/>
      </w:pPr>
      <w:r>
        <w:rPr>
          <w:rFonts w:ascii="Meiryo" w:cs="Meiryo" w:eastAsia="Meiryo" w:hAnsi="Meiryo"/>
          <w:b/>
          <w:bCs/>
          <w:color w:val="B58A3A"/>
          <w:sz w:val="20"/>
          <w:szCs w:val="20"/>
        </w:rPr>
        <w:t xml:space="preserve">★ </w:t>
      </w:r>
      <w:r>
        <w:rPr>
          <w:rFonts w:ascii="Meiryo" w:cs="Meiryo" w:eastAsia="Meiryo" w:hAnsi="Meiryo"/>
          <w:b/>
          <w:bCs/>
          <w:i w:val="false"/>
          <w:iCs w:val="false"/>
          <w:color w:val="243B53"/>
          <w:sz w:val="20"/>
          <w:szCs w:val="20"/>
        </w:rPr>
        <w:t xml:space="preserve">条文上『契約、協定その他何らの名義をもってするかを問わず』。口頭・暗黙の了解・紳士協定でも該当し得る。</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スライド8</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入札談合とは</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2分</w:t>
            </w:r>
          </w:p>
        </w:tc>
      </w:tr>
    </w:tbl>
    <w:p>
      <w:pPr>
        <w:spacing w:after="90" w:before="60" w:line="282"/>
        <w:ind w:left="120"/>
      </w:pPr>
      <w:r>
        <w:rPr>
          <w:rFonts w:ascii="Meiryo" w:cs="Meiryo" w:eastAsia="Meiryo" w:hAnsi="Meiryo"/>
          <w:b w:val="false"/>
          <w:bCs w:val="false"/>
          <w:i w:val="false"/>
          <w:iCs w:val="false"/>
          <w:color w:val="263238"/>
          <w:sz w:val="20"/>
          <w:szCs w:val="20"/>
        </w:rPr>
        <w:t xml:space="preserve">入札・コンペで受注予定者・価格・辞退・順番を事前調整する行為で、公共だけでなく民間入札・見積合わせも対象であることを強調します。</w:t>
      </w:r>
    </w:p>
    <w:p>
      <w:pPr>
        <w:spacing w:after="100" w:before="30" w:line="282"/>
        <w:ind w:left="120"/>
      </w:pPr>
      <w:r>
        <w:rPr>
          <w:rFonts w:ascii="Meiryo" w:cs="Meiryo" w:eastAsia="Meiryo" w:hAnsi="Meiryo"/>
          <w:b/>
          <w:bCs/>
          <w:color w:val="B58A3A"/>
          <w:sz w:val="20"/>
          <w:szCs w:val="20"/>
        </w:rPr>
        <w:t xml:space="preserve">★ </w:t>
      </w:r>
      <w:r>
        <w:rPr>
          <w:rFonts w:ascii="Meiryo" w:cs="Meiryo" w:eastAsia="Meiryo" w:hAnsi="Meiryo"/>
          <w:b/>
          <w:bCs/>
          <w:i w:val="false"/>
          <w:iCs w:val="false"/>
          <w:color w:val="243B53"/>
          <w:sz w:val="20"/>
          <w:szCs w:val="20"/>
        </w:rPr>
        <w:t xml:space="preserve">発注者から得た予定価格・仕様・参加者情報を競合に渡すのも談合の一類型。</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スライド9</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競合他社との情報交換とは</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2分</w:t>
            </w:r>
          </w:p>
        </w:tc>
      </w:tr>
    </w:tbl>
    <w:p>
      <w:pPr>
        <w:spacing w:after="90" w:before="60" w:line="282"/>
        <w:ind w:left="120"/>
      </w:pPr>
      <w:r>
        <w:rPr>
          <w:rFonts w:ascii="Meiryo" w:cs="Meiryo" w:eastAsia="Meiryo" w:hAnsi="Meiryo"/>
          <w:b w:val="false"/>
          <w:bCs w:val="false"/>
          <w:i w:val="false"/>
          <w:iCs w:val="false"/>
          <w:color w:val="263238"/>
          <w:sz w:val="20"/>
          <w:szCs w:val="20"/>
        </w:rPr>
        <w:t xml:space="preserve">競争上重要な情報の交換は、それ自体が端緒・証拠になり得ると説明します。『情報交換だけなら安全』が誤りである点を明確にします。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スライド10</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競合と話してはいけない情報 ― 一覧</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価格・コスト・数量・顧客地域・入札見積・将来計画の6系統を一望させ、次の4枚で代表系統を詳説すると伝えます。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スライド11</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話してはいけない情報① 価格・値上げ・割引・リベート</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1.5分</w:t>
            </w:r>
          </w:p>
        </w:tc>
      </w:tr>
    </w:tbl>
    <w:p>
      <w:pPr>
        <w:spacing w:after="90" w:before="60" w:line="282"/>
        <w:ind w:left="120"/>
      </w:pPr>
      <w:r>
        <w:rPr>
          <w:rFonts w:ascii="Meiryo" w:cs="Meiryo" w:eastAsia="Meiryo" w:hAnsi="Meiryo"/>
          <w:b w:val="false"/>
          <w:bCs w:val="false"/>
          <w:i w:val="false"/>
          <w:iCs w:val="false"/>
          <w:color w:val="263238"/>
          <w:sz w:val="20"/>
          <w:szCs w:val="20"/>
        </w:rPr>
        <w:t xml:space="preserve">価格・値上げ時期/幅・割引・リベートを競合と話さないこと、原材料高・労務費の転嫁も価格は各社独自に決めることを強調します。</w:t>
      </w:r>
    </w:p>
    <w:p>
      <w:pPr>
        <w:spacing w:after="100" w:before="30" w:line="282"/>
        <w:ind w:left="120"/>
      </w:pPr>
      <w:r>
        <w:rPr>
          <w:rFonts w:ascii="Meiryo" w:cs="Meiryo" w:eastAsia="Meiryo" w:hAnsi="Meiryo"/>
          <w:b/>
          <w:bCs/>
          <w:color w:val="B58A3A"/>
          <w:sz w:val="20"/>
          <w:szCs w:val="20"/>
        </w:rPr>
        <w:t xml:space="preserve">★ </w:t>
      </w:r>
      <w:r>
        <w:rPr>
          <w:rFonts w:ascii="Meiryo" w:cs="Meiryo" w:eastAsia="Meiryo" w:hAnsi="Meiryo"/>
          <w:b/>
          <w:bCs/>
          <w:i w:val="false"/>
          <w:iCs w:val="false"/>
          <w:color w:val="243B53"/>
          <w:sz w:val="20"/>
          <w:szCs w:val="20"/>
        </w:rPr>
        <w:t xml:space="preserve">コスト上昇への対応も『各社で足並みをそろえる』のはNG。</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スライド12</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話してはいけない情報② 数量・供給能力・在庫・計画</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1.5分</w:t>
            </w:r>
          </w:p>
        </w:tc>
      </w:tr>
    </w:tbl>
    <w:p>
      <w:pPr>
        <w:spacing w:after="90" w:before="60" w:line="282"/>
        <w:ind w:left="120"/>
      </w:pPr>
      <w:r>
        <w:rPr>
          <w:rFonts w:ascii="Meiryo" w:cs="Meiryo" w:eastAsia="Meiryo" w:hAnsi="Meiryo"/>
          <w:b w:val="false"/>
          <w:bCs w:val="false"/>
          <w:i w:val="false"/>
          <w:iCs w:val="false"/>
          <w:color w:val="263238"/>
          <w:sz w:val="20"/>
          <w:szCs w:val="20"/>
        </w:rPr>
        <w:t xml:space="preserve">生産・販売数量、供給能力、在庫、供給制限の調整は数量カルテルになり得ると説明します。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スライド13</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話してはいけない情報③ 顧客・地域・取引先・案件配分</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1.5分</w:t>
            </w:r>
          </w:p>
        </w:tc>
      </w:tr>
    </w:tbl>
    <w:p>
      <w:pPr>
        <w:spacing w:after="90" w:before="60" w:line="282"/>
        <w:ind w:left="120"/>
      </w:pPr>
      <w:r>
        <w:rPr>
          <w:rFonts w:ascii="Meiryo" w:cs="Meiryo" w:eastAsia="Meiryo" w:hAnsi="Meiryo"/>
          <w:b w:val="false"/>
          <w:bCs w:val="false"/>
          <w:i w:val="false"/>
          <w:iCs w:val="false"/>
          <w:color w:val="263238"/>
          <w:sz w:val="20"/>
          <w:szCs w:val="20"/>
        </w:rPr>
        <w:t xml:space="preserve">顧客・地域・取引先・案件の『分け合い』は市場分割であり重大な違反であることを示します。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スライド14</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話してはいけない情報④ 入札・見積・コンペ情報</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1.5分</w:t>
            </w:r>
          </w:p>
        </w:tc>
      </w:tr>
    </w:tbl>
    <w:p>
      <w:pPr>
        <w:spacing w:after="90" w:before="60" w:line="282"/>
        <w:ind w:left="120"/>
      </w:pPr>
      <w:r>
        <w:rPr>
          <w:rFonts w:ascii="Meiryo" w:cs="Meiryo" w:eastAsia="Meiryo" w:hAnsi="Meiryo"/>
          <w:b w:val="false"/>
          <w:bCs w:val="false"/>
          <w:i w:val="false"/>
          <w:iCs w:val="false"/>
          <w:color w:val="263238"/>
          <w:sz w:val="20"/>
          <w:szCs w:val="20"/>
        </w:rPr>
        <w:t xml:space="preserve">入札予定・価格・見積額・受注意欲・辞退の共有はNG、自社単独での積算・見積はOK、という線を示します。</w:t>
      </w:r>
    </w:p>
    <w:p>
      <w:r>
        <w:br w:type="page"/>
      </w:r>
    </w:p>
    <w:tbl>
      <w:tblPr>
        <w:tblW w:type="dxa" w:w="9026"/>
        <w:tblBorders>
          <w:top w:val="none"/>
          <w:left w:val="none"/>
          <w:bottom w:val="none"/>
          <w:right w:val="none"/>
        </w:tblBorders>
      </w:tblPr>
      <w:tblGrid>
        <w:gridCol w:w="9026"/>
      </w:tblGrid>
      <w:tr>
        <w:tc>
          <w:tcPr>
            <w:tcW w:type="dxa" w:w="9026"/>
            <w:shd w:fill="237A75"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場面別の注意（スライド15〜21）</w:t>
            </w:r>
          </w:p>
        </w:tc>
      </w:tr>
    </w:tbl>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スライド15</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業界団体・事業者団体の活動</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2分</w:t>
            </w:r>
          </w:p>
        </w:tc>
      </w:tr>
    </w:tbl>
    <w:p>
      <w:pPr>
        <w:spacing w:after="90" w:before="60" w:line="282"/>
        <w:ind w:left="120"/>
      </w:pPr>
      <w:r>
        <w:rPr>
          <w:rFonts w:ascii="Meiryo" w:cs="Meiryo" w:eastAsia="Meiryo" w:hAnsi="Meiryo"/>
          <w:b w:val="false"/>
          <w:bCs w:val="false"/>
          <w:i w:val="false"/>
          <w:iCs w:val="false"/>
          <w:color w:val="263238"/>
          <w:sz w:val="20"/>
          <w:szCs w:val="20"/>
        </w:rPr>
        <w:t xml:space="preserve">団体活動自体は直ちに違法ではない（第8条で規律）が、価格・数量・入札を扱うと危険、事務局任せでも自社責任は残る、と説明します。</w:t>
      </w:r>
    </w:p>
    <w:p>
      <w:pPr>
        <w:spacing w:after="100" w:before="30" w:line="282"/>
        <w:ind w:left="120"/>
      </w:pPr>
      <w:r>
        <w:rPr>
          <w:rFonts w:ascii="Meiryo" w:cs="Meiryo" w:eastAsia="Meiryo" w:hAnsi="Meiryo"/>
          <w:b/>
          <w:bCs/>
          <w:color w:val="B58A3A"/>
          <w:sz w:val="20"/>
          <w:szCs w:val="20"/>
        </w:rPr>
        <w:t xml:space="preserve">★ </w:t>
      </w:r>
      <w:r>
        <w:rPr>
          <w:rFonts w:ascii="Meiryo" w:cs="Meiryo" w:eastAsia="Meiryo" w:hAnsi="Meiryo"/>
          <w:b/>
          <w:bCs/>
          <w:i w:val="false"/>
          <w:iCs w:val="false"/>
          <w:color w:val="243B53"/>
          <w:sz w:val="20"/>
          <w:szCs w:val="20"/>
        </w:rPr>
        <w:t xml:space="preserve">会合では議題・出席者・資料・議事録を確認。危険なら反対・離脱・記録・報告。</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スライド16</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懇親会・展示会・セミナー・二次会</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1.5分</w:t>
            </w:r>
          </w:p>
        </w:tc>
      </w:tr>
    </w:tbl>
    <w:p>
      <w:pPr>
        <w:spacing w:after="90" w:before="60" w:line="282"/>
        <w:ind w:left="120"/>
      </w:pPr>
      <w:r>
        <w:rPr>
          <w:rFonts w:ascii="Meiryo" w:cs="Meiryo" w:eastAsia="Meiryo" w:hAnsi="Meiryo"/>
          <w:b w:val="false"/>
          <w:bCs w:val="false"/>
          <w:i w:val="false"/>
          <w:iCs w:val="false"/>
          <w:color w:val="263238"/>
          <w:sz w:val="20"/>
          <w:szCs w:val="20"/>
        </w:rPr>
        <w:t xml:space="preserve">『業務ではない雑談だから』『お酒の席だから』は理由にならない、非公式の場こそ最も危険、会合本体と同じ基準で行動、と伝えます。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スライド17</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統計情報・ベンチマーク調査の注意</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2分</w:t>
            </w:r>
          </w:p>
        </w:tc>
      </w:tr>
    </w:tbl>
    <w:p>
      <w:pPr>
        <w:spacing w:after="90" w:before="60" w:line="282"/>
        <w:ind w:left="120"/>
      </w:pPr>
      <w:r>
        <w:rPr>
          <w:rFonts w:ascii="Meiryo" w:cs="Meiryo" w:eastAsia="Meiryo" w:hAnsi="Meiryo"/>
          <w:b w:val="false"/>
          <w:bCs w:val="false"/>
          <w:i w:val="false"/>
          <w:iCs w:val="false"/>
          <w:color w:val="263238"/>
          <w:sz w:val="20"/>
          <w:szCs w:val="20"/>
        </w:rPr>
        <w:t xml:space="preserve">統計を読むこと自体は通常問題ないが、個社別・直近・将来が分かる粒度での競合間共有は危険、匿名化・集計・過去情報化を確認、と説明します。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スライド18</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公表情報・過去情報でも注意する場面</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『公表/過去/統計だから常に安全』ではなく、共有の粒度・時期・相手で危険になり得ることを補足します。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スライド19</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共同研究・標準化・共同購買・共同物流の注意</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協業自体は正当だが、枠を超えて価格・顧客・数量・将来方針が共有されないよう、目的・範囲・情報遮断を事前に法務確認、と伝えます。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スライド20</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代理店・販売店会合の注意</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1.5分</w:t>
            </w:r>
          </w:p>
        </w:tc>
      </w:tr>
    </w:tbl>
    <w:p>
      <w:pPr>
        <w:spacing w:after="90" w:before="60" w:line="282"/>
        <w:ind w:left="120"/>
      </w:pPr>
      <w:r>
        <w:rPr>
          <w:rFonts w:ascii="Meiryo" w:cs="Meiryo" w:eastAsia="Meiryo" w:hAnsi="Meiryo"/>
          <w:b w:val="false"/>
          <w:bCs w:val="false"/>
          <w:i w:val="false"/>
          <w:iCs w:val="false"/>
          <w:color w:val="263238"/>
          <w:sz w:val="20"/>
          <w:szCs w:val="20"/>
        </w:rPr>
        <w:t xml:space="preserve">代理店間の販売価格調整も、メーカーが取りまとめる関与も問題。再販売価格維持の論点もある。発言が出たら制止・記録・報告、と説明します。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スライド21</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AI・アルゴリズム・価格決定ツールの注意</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2分</w:t>
            </w:r>
          </w:p>
        </w:tc>
      </w:tr>
    </w:tbl>
    <w:p>
      <w:pPr>
        <w:spacing w:after="90" w:before="60" w:line="282"/>
        <w:ind w:left="120"/>
      </w:pPr>
      <w:r>
        <w:rPr>
          <w:rFonts w:ascii="Meiryo" w:cs="Meiryo" w:eastAsia="Meiryo" w:hAnsi="Meiryo"/>
          <w:b w:val="false"/>
          <w:bCs w:val="false"/>
          <w:i w:val="false"/>
          <w:iCs w:val="false"/>
          <w:color w:val="263238"/>
          <w:sz w:val="20"/>
          <w:szCs w:val="20"/>
        </w:rPr>
        <w:t xml:space="preserve">競合と同じツールでも価格方針が共有される設計に注意、AIに価格調整や市場分割をさせない、競合の非公開情報を入力しない、『AIが決めたから免責』はない、と説明します（生成AI利用研修と連動）。</w:t>
      </w:r>
    </w:p>
    <w:p>
      <w:r>
        <w:br w:type="page"/>
      </w:r>
    </w:p>
    <w:tbl>
      <w:tblPr>
        <w:tblW w:type="dxa" w:w="9026"/>
        <w:tblBorders>
          <w:top w:val="none"/>
          <w:left w:val="none"/>
          <w:bottom w:val="none"/>
          <w:right w:val="none"/>
        </w:tblBorders>
      </w:tblPr>
      <w:tblGrid>
        <w:gridCol w:w="9026"/>
      </w:tblGrid>
      <w:tr>
        <w:tc>
          <w:tcPr>
            <w:tcW w:type="dxa" w:w="9026"/>
            <w:shd w:fill="2F6B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行動原則（スライド22〜26）</w:t>
            </w:r>
          </w:p>
        </w:tc>
      </w:tr>
    </w:tbl>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スライド22</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危険な話題が出たときの離脱フロー</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2分</w:t>
            </w:r>
          </w:p>
        </w:tc>
      </w:tr>
    </w:tbl>
    <w:p>
      <w:pPr>
        <w:spacing w:after="90" w:before="60" w:line="282"/>
        <w:ind w:left="120"/>
      </w:pPr>
      <w:r>
        <w:rPr>
          <w:rFonts w:ascii="Meiryo" w:cs="Meiryo" w:eastAsia="Meiryo" w:hAnsi="Meiryo"/>
          <w:b w:val="false"/>
          <w:bCs w:val="false"/>
          <w:i w:val="false"/>
          <w:iCs w:val="false"/>
          <w:color w:val="263238"/>
          <w:sz w:val="20"/>
          <w:szCs w:val="20"/>
        </w:rPr>
        <w:t xml:space="preserve">止める→反対→離脱→記録→報告の5ステップを、受講者に声に出して確認させます。沈黙は同調と見られ得ることを強調します。</w:t>
      </w:r>
    </w:p>
    <w:p>
      <w:pPr>
        <w:spacing w:after="100" w:before="30" w:line="282"/>
        <w:ind w:left="120"/>
      </w:pPr>
      <w:r>
        <w:rPr>
          <w:rFonts w:ascii="Meiryo" w:cs="Meiryo" w:eastAsia="Meiryo" w:hAnsi="Meiryo"/>
          <w:b/>
          <w:bCs/>
          <w:color w:val="B58A3A"/>
          <w:sz w:val="20"/>
          <w:szCs w:val="20"/>
        </w:rPr>
        <w:t xml:space="preserve">★ </w:t>
      </w:r>
      <w:r>
        <w:rPr>
          <w:rFonts w:ascii="Meiryo" w:cs="Meiryo" w:eastAsia="Meiryo" w:hAnsi="Meiryo"/>
          <w:b/>
          <w:bCs/>
          <w:i w:val="false"/>
          <w:iCs w:val="false"/>
          <w:color w:val="243B53"/>
          <w:sz w:val="20"/>
          <w:szCs w:val="20"/>
        </w:rPr>
        <w:t xml:space="preserve">『黙って聞いていた』は最も危険な立ち位置。明確な反対と離脱を。</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スライド23</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記録・議事録・報告で残すこと</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誰が・いつ・どこで・何を、自分が反対・離脱したことを残す。資料・メール・チャットは削除しないことを伝えます。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スライド24</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入札案件でやってはいけないこと</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1.5分</w:t>
            </w:r>
          </w:p>
        </w:tc>
      </w:tr>
    </w:tbl>
    <w:p>
      <w:pPr>
        <w:spacing w:after="90" w:before="60" w:line="282"/>
        <w:ind w:left="120"/>
      </w:pPr>
      <w:r>
        <w:rPr>
          <w:rFonts w:ascii="Meiryo" w:cs="Meiryo" w:eastAsia="Meiryo" w:hAnsi="Meiryo"/>
          <w:b w:val="false"/>
          <w:bCs w:val="false"/>
          <w:i w:val="false"/>
          <w:iCs w:val="false"/>
          <w:color w:val="263238"/>
          <w:sz w:val="20"/>
          <w:szCs w:val="20"/>
        </w:rPr>
        <w:t xml:space="preserve">受注予定者調整・価格調整・辞退/順番調整・発注者情報の横流しを列挙し、自社単独積算はOKと再確認します。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スライド25</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違反時の影響 ― 会社にも個人にも及ぶ</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1.5分</w:t>
            </w:r>
          </w:p>
        </w:tc>
      </w:tr>
    </w:tbl>
    <w:p>
      <w:pPr>
        <w:spacing w:after="90" w:before="60" w:line="282"/>
        <w:ind w:left="120"/>
      </w:pPr>
      <w:r>
        <w:rPr>
          <w:rFonts w:ascii="Meiryo" w:cs="Meiryo" w:eastAsia="Meiryo" w:hAnsi="Meiryo"/>
          <w:b w:val="false"/>
          <w:bCs w:val="false"/>
          <w:i w:val="false"/>
          <w:iCs w:val="false"/>
          <w:color w:val="263238"/>
          <w:sz w:val="20"/>
          <w:szCs w:val="20"/>
        </w:rPr>
        <w:t xml:space="preserve">会社（排除措置命令・課徴金・損害賠償）、個人（刑事告発・社内処分）、事業（指名停止・信用失墜）、海外案件への波及を概観します。数字の暗記より『重大さ』を伝えます。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スライド26</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「違反かも」と思ったら ― 現場で独断しない</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1.5分</w:t>
            </w:r>
          </w:p>
        </w:tc>
      </w:tr>
    </w:tbl>
    <w:p>
      <w:pPr>
        <w:spacing w:after="90" w:before="60" w:line="282"/>
        <w:ind w:left="120"/>
      </w:pPr>
      <w:r>
        <w:rPr>
          <w:rFonts w:ascii="Meiryo" w:cs="Meiryo" w:eastAsia="Meiryo" w:hAnsi="Meiryo"/>
          <w:b w:val="false"/>
          <w:bCs w:val="false"/>
          <w:i w:val="false"/>
          <w:iCs w:val="false"/>
          <w:color w:val="263238"/>
          <w:sz w:val="20"/>
          <w:szCs w:val="20"/>
        </w:rPr>
        <w:t xml:space="preserve">リニエンシーは順位・タイミングが重要で専門判断を要するため、現場で『自首するか』を判断せず、直ちに法務へつなぐことを強調します。</w:t>
      </w:r>
    </w:p>
    <w:p>
      <w:pPr>
        <w:spacing w:after="100" w:before="30" w:line="282"/>
        <w:ind w:left="120"/>
      </w:pPr>
      <w:r>
        <w:rPr>
          <w:rFonts w:ascii="Meiryo" w:cs="Meiryo" w:eastAsia="Meiryo" w:hAnsi="Meiryo"/>
          <w:b/>
          <w:bCs/>
          <w:color w:val="B58A3A"/>
          <w:sz w:val="20"/>
          <w:szCs w:val="20"/>
        </w:rPr>
        <w:t xml:space="preserve">★ </w:t>
      </w:r>
      <w:r>
        <w:rPr>
          <w:rFonts w:ascii="Meiryo" w:cs="Meiryo" w:eastAsia="Meiryo" w:hAnsi="Meiryo"/>
          <w:b/>
          <w:bCs/>
          <w:i w:val="false"/>
          <w:iCs w:val="false"/>
          <w:color w:val="243B53"/>
          <w:sz w:val="20"/>
          <w:szCs w:val="20"/>
        </w:rPr>
        <w:t xml:space="preserve">迷ったら止める・保全する・報告する。判断は法務・コンプライアンスへ。</w:t>
      </w:r>
    </w:p>
    <w:p>
      <w:r>
        <w:br w:type="page"/>
      </w:r>
    </w:p>
    <w:tbl>
      <w:tblPr>
        <w:tblW w:type="dxa" w:w="9026"/>
        <w:tblBorders>
          <w:top w:val="none"/>
          <w:left w:val="none"/>
          <w:bottom w:val="none"/>
          <w:right w:val="none"/>
        </w:tblBorders>
      </w:tblPr>
      <w:tblGrid>
        <w:gridCol w:w="9026"/>
      </w:tblGrid>
      <w:tr>
        <w:tc>
          <w:tcPr>
            <w:tcW w:type="dxa" w:w="9026"/>
            <w:shd w:fill="237A75"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ケース演習（スライド27〜32／各目安1分＋討議）</w:t>
            </w:r>
          </w:p>
        </w:tc>
      </w:tr>
    </w:tbl>
    <w:p>
      <w:pPr>
        <w:spacing w:after="120" w:before="40" w:line="288"/>
      </w:pPr>
      <w:r>
        <w:rPr>
          <w:rFonts w:ascii="Meiryo" w:cs="Meiryo" w:eastAsia="Meiryo" w:hAnsi="Meiryo"/>
          <w:b w:val="false"/>
          <w:bCs w:val="false"/>
          <w:i w:val="false"/>
          <w:iCs w:val="false"/>
          <w:color w:val="263238"/>
          <w:sz w:val="21"/>
          <w:szCs w:val="21"/>
        </w:rPr>
        <w:t xml:space="preserve">各ケースは、①場面を読む→②受講者に対応を尋ねる→③正解の方向（話さない・離脱・記録・報告・相談）を確認、の流れで進めます。グループ討議を入れる場合は1ケース3〜4分を見込みます。詳細はケースワークブック・解答の手引を参照。</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スライド27</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ケース①：競合から「値上げ時期」を聞かれた</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『業界全体で』の誘いに乗らない。明確に断り、離席し、記録・報告。値上げは自社で独自判断、と確認します（導入ケースの回収）。</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スライド28</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ケース②：業界団体で「価格転嫁の方向感」を話す</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団体の場でも価格・値上げ幅の擦り合わせは危険。反対し、議事録に反対・離脱を記録、事務局任せにしない、と確認します。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スライド29</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ケース③：公共入札で「受注予定者」を調整</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受注予定者・順番・形式的参加は談合の典型で最も重大。関与せず断り、証拠を保全し、直ちに報告。リニエンシーは会社・法務が判断、と確認します。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スライド30</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ケース④：競合とのチャットで「顧客情報」を交換</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顧客の予算・更新時期・提案価格の交換は顧客配分・受注調整の端緒。非公式チャットでも記録は残る。退室し、保存し、報告、と確認します。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スライド31</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ケース⑤：統計アンケートで「個社別数量」を共有</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個社別・直近の数量共有は数量カルテルの隠れ蓑になり得る。集計・匿名化・過去情報化を確認し、不適切なら是正、と確認します。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スライド32</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ケース⑥：代理店会合で「販売価格をそろえる」発言</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代理店間の価格調整も、メーカーの取りまとめ関与も問題。再販の論点もある。制止・記録・報告、メーカー担当者も取りまとめ役に回らない、と確認します。</w:t>
      </w:r>
    </w:p>
    <w:p>
      <w:r>
        <w:br w:type="page"/>
      </w:r>
    </w:p>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まとめ（スライド33〜36）</w:t>
            </w:r>
          </w:p>
        </w:tc>
      </w:tr>
    </w:tbl>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スライド33</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日常行動チェックリスト</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日々の業務で使えるチェック項目を示し、配布するチェックリスト教材と連動していることを伝えます。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スライド34</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競合接触の事前確認・事後報告</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接触前の確認と接触後の報告をルーティン化することの重要性を伝え、記録シート（ツールキット）を案内します。</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スライド35</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行動原則・自社相談先</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1.5分</w:t>
            </w:r>
          </w:p>
        </w:tc>
      </w:tr>
    </w:tbl>
    <w:p>
      <w:pPr>
        <w:spacing w:after="90" w:before="60" w:line="282"/>
        <w:ind w:left="120"/>
      </w:pPr>
      <w:r>
        <w:rPr>
          <w:rFonts w:ascii="Meiryo" w:cs="Meiryo" w:eastAsia="Meiryo" w:hAnsi="Meiryo"/>
          <w:b w:val="false"/>
          <w:bCs w:val="false"/>
          <w:i w:val="false"/>
          <w:iCs w:val="false"/>
          <w:color w:val="263238"/>
          <w:sz w:val="20"/>
          <w:szCs w:val="20"/>
        </w:rPr>
        <w:t xml:space="preserve">行動原則を再確認し、自社の相談窓口・通報窓口を必ず周知します（この欄は自社の実際の窓口に置き換えること）。</w:t>
      </w:r>
    </w:p>
    <w:p>
      <w:pPr>
        <w:spacing w:after="100" w:before="30" w:line="282"/>
        <w:ind w:left="120"/>
      </w:pPr>
      <w:r>
        <w:rPr>
          <w:rFonts w:ascii="Meiryo" w:cs="Meiryo" w:eastAsia="Meiryo" w:hAnsi="Meiryo"/>
          <w:b/>
          <w:bCs/>
          <w:color w:val="B58A3A"/>
          <w:sz w:val="20"/>
          <w:szCs w:val="20"/>
        </w:rPr>
        <w:t xml:space="preserve">★ </w:t>
      </w:r>
      <w:r>
        <w:rPr>
          <w:rFonts w:ascii="Meiryo" w:cs="Meiryo" w:eastAsia="Meiryo" w:hAnsi="Meiryo"/>
          <w:b/>
          <w:bCs/>
          <w:i w:val="false"/>
          <w:iCs w:val="false"/>
          <w:color w:val="243B53"/>
          <w:sz w:val="20"/>
          <w:szCs w:val="20"/>
        </w:rPr>
        <w:t xml:space="preserve">『迷ったら相談』を文化にする。相談したことで不利益を受けない仕組みも案内。</w:t>
      </w:r>
    </w:p>
    <w:tbl>
      <w:tblPr>
        <w:tblW w:type="dxa" w:w="9026"/>
        <w:tblBorders>
          <w:top w:val="none"/>
          <w:left w:val="none"/>
          <w:bottom w:val="none"/>
          <w:right w:val="none"/>
        </w:tblBorders>
      </w:tblPr>
      <w:tblGrid>
        <w:gridCol w:w="1500"/>
        <w:gridCol w:w="6126"/>
        <w:gridCol w:w="1400"/>
      </w:tblGrid>
      <w:tr>
        <w:tc>
          <w:tcPr>
            <w:tcW w:type="dxa" w:w="1500"/>
            <w:shd w:fill="16314F" w:val="clear"/>
            <w:tcMar>
              <w:top w:type="dxa" w:w="60"/>
              <w:left w:type="dxa" w:w="120"/>
              <w:bottom w:type="dxa" w:w="60"/>
              <w:right w:type="dxa" w:w="80"/>
            </w:tcMar>
            <w:vAlign w:val="center"/>
          </w:tcPr>
          <w:p>
            <w:pPr>
              <w:spacing w:after="0" w:before="0"/>
            </w:pPr>
            <w:r>
              <w:rPr>
                <w:rFonts w:ascii="Meiryo" w:cs="Meiryo" w:eastAsia="Meiryo" w:hAnsi="Meiryo"/>
                <w:b/>
                <w:bCs/>
                <w:color w:val="FFFFFF"/>
                <w:sz w:val="19"/>
                <w:szCs w:val="19"/>
              </w:rPr>
              <w:t xml:space="preserve">スライド36</w:t>
            </w:r>
          </w:p>
        </w:tc>
        <w:tc>
          <w:tcPr>
            <w:tcW w:type="dxa" w:w="6126"/>
            <w:shd w:fill="F6F8FA" w:val="clear"/>
            <w:tcMar>
              <w:top w:type="dxa" w:w="60"/>
              <w:left w:type="dxa" w:w="140"/>
              <w:bottom w:type="dxa" w:w="60"/>
              <w:right w:type="dxa" w:w="100"/>
            </w:tcMar>
            <w:vAlign w:val="center"/>
          </w:tcPr>
          <w:p>
            <w:pPr>
              <w:spacing w:after="0" w:before="0"/>
            </w:pPr>
            <w:r>
              <w:rPr>
                <w:rFonts w:ascii="Meiryo" w:cs="Meiryo" w:eastAsia="Meiryo" w:hAnsi="Meiryo"/>
                <w:b/>
                <w:bCs/>
                <w:color w:val="16314F"/>
                <w:sz w:val="19"/>
                <w:szCs w:val="19"/>
              </w:rPr>
              <w:t xml:space="preserve">確認テスト案内・終了</w:t>
            </w:r>
          </w:p>
        </w:tc>
        <w:tc>
          <w:tcPr>
            <w:tcW w:type="dxa" w:w="1400"/>
            <w:shd w:fill="E7D9B8" w:val="clear"/>
            <w:tcMar>
              <w:top w:type="dxa" w:w="60"/>
              <w:left w:type="dxa" w:w="80"/>
              <w:bottom w:type="dxa" w:w="60"/>
              <w:right w:type="dxa" w:w="80"/>
            </w:tcMar>
            <w:vAlign w:val="center"/>
          </w:tcPr>
          <w:p>
            <w:pPr>
              <w:spacing w:after="0" w:before="0"/>
              <w:jc w:val="center"/>
            </w:pPr>
            <w:r>
              <w:rPr>
                <w:rFonts w:ascii="Meiryo" w:cs="Meiryo" w:eastAsia="Meiryo" w:hAnsi="Meiryo"/>
                <w:b/>
                <w:bCs/>
                <w:color w:val="243B53"/>
                <w:sz w:val="17"/>
                <w:szCs w:val="17"/>
              </w:rPr>
              <w:t xml:space="preserve">目安 1分</w:t>
            </w:r>
          </w:p>
        </w:tc>
      </w:tr>
    </w:tbl>
    <w:p>
      <w:pPr>
        <w:spacing w:after="90" w:before="60" w:line="282"/>
        <w:ind w:left="120"/>
      </w:pPr>
      <w:r>
        <w:rPr>
          <w:rFonts w:ascii="Meiryo" w:cs="Meiryo" w:eastAsia="Meiryo" w:hAnsi="Meiryo"/>
          <w:b w:val="false"/>
          <w:bCs w:val="false"/>
          <w:i w:val="false"/>
          <w:iCs w:val="false"/>
          <w:color w:val="263238"/>
          <w:sz w:val="20"/>
          <w:szCs w:val="20"/>
        </w:rPr>
        <w:t xml:space="preserve">確認テストの実施方法（全12問・各1点）を案内し、研修だけで体制が完成するものではない点を改めて伝えて締めます。</w:t>
      </w:r>
    </w:p>
    <w:p>
      <w:pPr>
        <w:spacing w:after="40"/>
      </w:pPr>
    </w:p>
    <w:tbl>
      <w:tblPr>
        <w:tblW w:type="dxa" w:w="9026"/>
        <w:tblBorders>
          <w:top w:val="single" w:color="243B53" w:sz="2"/>
          <w:left w:val="single" w:color="243B53" w:sz="18"/>
          <w:bottom w:val="single" w:color="243B53" w:sz="2"/>
          <w:right w:val="single" w:color="243B53" w:sz="2"/>
        </w:tblBorders>
      </w:tblPr>
      <w:tblGrid>
        <w:gridCol w:w="9026"/>
      </w:tblGrid>
      <w:tr>
        <w:tc>
          <w:tcPr>
            <w:tcW w:type="dxa" w:w="9026"/>
            <w:shd w:fill="F6F8FA" w:val="clear"/>
            <w:tcMar>
              <w:top w:type="dxa" w:w="110"/>
              <w:left w:type="dxa" w:w="170"/>
              <w:bottom w:type="dxa" w:w="110"/>
              <w:right w:type="dxa" w:w="150"/>
            </w:tcMar>
          </w:tcPr>
          <w:p>
            <w:pPr>
              <w:spacing w:after="0" w:before="0"/>
            </w:pPr>
            <w:r>
              <w:rPr>
                <w:rFonts w:ascii="Meiryo" w:cs="Meiryo" w:eastAsia="Meiryo" w:hAnsi="Meiryo"/>
                <w:b/>
                <w:bCs/>
                <w:i w:val="false"/>
                <w:iCs w:val="false"/>
                <w:color w:val="263238"/>
                <w:sz w:val="21"/>
                <w:szCs w:val="21"/>
              </w:rPr>
              <w:t xml:space="preserve">目安時間 合計：約 </w:t>
            </w:r>
            <w:r>
              <w:rPr>
                <w:rFonts w:ascii="Meiryo" w:cs="Meiryo" w:eastAsia="Meiryo" w:hAnsi="Meiryo"/>
                <w:b/>
                <w:bCs/>
                <w:i w:val="false"/>
                <w:iCs w:val="false"/>
                <w:color w:val="16314F"/>
                <w:sz w:val="21"/>
                <w:szCs w:val="21"/>
              </w:rPr>
              <w:t xml:space="preserve">51 分</w:t>
            </w:r>
            <w:r>
              <w:rPr>
                <w:rFonts w:ascii="Meiryo" w:cs="Meiryo" w:eastAsia="Meiryo" w:hAnsi="Meiryo"/>
                <w:b w:val="false"/>
                <w:bCs w:val="false"/>
                <w:i w:val="false"/>
                <w:iCs w:val="false"/>
                <w:color w:val="263238"/>
                <w:sz w:val="21"/>
                <w:szCs w:val="21"/>
              </w:rPr>
              <w:t xml:space="preserve">（ケース討議の有無で 45〜55 分）</w:t>
            </w:r>
          </w:p>
        </w:tc>
      </w:tr>
    </w:tbl>
    <w:p>
      <w:r>
        <w:br w:type="page"/>
      </w:r>
    </w:p>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想定問答（18問）</w:t>
            </w:r>
          </w:p>
        </w:tc>
      </w:tr>
    </w:tbl>
    <w:p>
      <w:pPr>
        <w:spacing w:after="120" w:before="40" w:line="288"/>
      </w:pPr>
      <w:r>
        <w:rPr>
          <w:rFonts w:ascii="Meiryo" w:cs="Meiryo" w:eastAsia="Meiryo" w:hAnsi="Meiryo"/>
          <w:b w:val="false"/>
          <w:bCs w:val="false"/>
          <w:i w:val="false"/>
          <w:iCs w:val="false"/>
          <w:color w:val="263238"/>
          <w:sz w:val="21"/>
          <w:szCs w:val="21"/>
        </w:rPr>
        <w:t xml:space="preserve">受講者から出やすい質問と、回答の方向性です。最終判断は自社規程・法務に従う旨を添えてください。</w:t>
      </w:r>
    </w:p>
    <w:tbl>
      <w:tblPr>
        <w:tblW w:type="dxa" w:w="9026"/>
        <w:tblBorders>
          <w:top w:val="none"/>
          <w:left w:val="none"/>
          <w:bottom w:val="none"/>
          <w:right w:val="none"/>
        </w:tblBorders>
      </w:tblPr>
      <w:tblGrid>
        <w:gridCol w:w="3200"/>
        <w:gridCol w:w="5826"/>
      </w:tblGrid>
      <w:tr>
        <w:trPr>
          <w:tblHeader/>
        </w:trPr>
        <w:tc>
          <w:tcPr>
            <w:tcW w:type="dxa" w:w="32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想定質問</w:t>
            </w:r>
          </w:p>
        </w:tc>
        <w:tc>
          <w:tcPr>
            <w:tcW w:type="dxa" w:w="5826"/>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回答の方向性</w:t>
            </w:r>
          </w:p>
        </w:tc>
      </w:tr>
      <w:tr>
        <w:tc>
          <w:tcPr>
            <w:tcW w:type="dxa" w:w="32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Q1　競合とは一切話すなということですか？</w:t>
            </w:r>
          </w:p>
        </w:tc>
        <w:tc>
          <w:tcPr>
            <w:tcW w:type="dxa" w:w="58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いいえ。技術の一般論・安全・品質・公開済みの仕様などは通常問題ありません。目的は『競争上重要な情報を競合と共有しない』ことです。</w:t>
            </w:r>
          </w:p>
        </w:tc>
      </w:tr>
      <w:tr>
        <w:tc>
          <w:tcPr>
            <w:tcW w:type="dxa" w:w="32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Q2　口頭なら証拠が残らないので大丈夫では？</w:t>
            </w:r>
          </w:p>
        </w:tc>
        <w:tc>
          <w:tcPr>
            <w:tcW w:type="dxa" w:w="58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口頭・暗黙の了解でも合意は成立し得ます。相手や第三者の記録・メール・供述で立証されることもあり、『残らない＝安全』ではありません。</w:t>
            </w:r>
          </w:p>
        </w:tc>
      </w:tr>
      <w:tr>
        <w:tc>
          <w:tcPr>
            <w:tcW w:type="dxa" w:w="32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Q3　具体的な価格でなく『方向感』だけならよいのでは？</w:t>
            </w:r>
          </w:p>
        </w:tc>
        <w:tc>
          <w:tcPr>
            <w:tcW w:type="dxa" w:w="58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値上げの方向感・市況感の共有も、カルテルの端緒・証拠になり得ます。価格に関する情報は各社が独自に判断してください。</w:t>
            </w:r>
          </w:p>
        </w:tc>
      </w:tr>
      <w:tr>
        <w:tc>
          <w:tcPr>
            <w:tcW w:type="dxa" w:w="32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Q4　原材料高で各社が値上げするのは当然では？</w:t>
            </w:r>
          </w:p>
        </w:tc>
        <w:tc>
          <w:tcPr>
            <w:tcW w:type="dxa" w:w="58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コスト上昇への対応自体は当然ですが、競合と時期・幅・方針をそろえると価格カルテルになり得ます。価格は各社独自に決めます。</w:t>
            </w:r>
          </w:p>
        </w:tc>
      </w:tr>
      <w:tr>
        <w:tc>
          <w:tcPr>
            <w:tcW w:type="dxa" w:w="32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Q5　業界団体の会合に出てよいのですか？</w:t>
            </w:r>
          </w:p>
        </w:tc>
        <w:tc>
          <w:tcPr>
            <w:tcW w:type="dxa" w:w="58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出席自体は問題ありません。ただし価格・数量・顧客・入札が議題に出たら、反対し、離脱し、記録し、報告してください。</w:t>
            </w:r>
          </w:p>
        </w:tc>
      </w:tr>
      <w:tr>
        <w:tc>
          <w:tcPr>
            <w:tcW w:type="dxa" w:w="32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Q6　統計やアンケートはどこまで参加してよい？</w:t>
            </w:r>
          </w:p>
        </w:tc>
        <w:tc>
          <w:tcPr>
            <w:tcW w:type="dxa" w:w="58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集計・匿名化・過去情報化され、個社が特定できない形なら通常問題ありません。個社別・直近・将来が分かる形は要注意です。</w:t>
            </w:r>
          </w:p>
        </w:tc>
      </w:tr>
      <w:tr>
        <w:tc>
          <w:tcPr>
            <w:tcW w:type="dxa" w:w="32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Q7　公表情報なら何でも共有してよい？</w:t>
            </w:r>
          </w:p>
        </w:tc>
        <w:tc>
          <w:tcPr>
            <w:tcW w:type="dxa" w:w="58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公表情報でも、共有の粒度・時期・相手によっては危険です。『公表だから常に安全』ではありません。</w:t>
            </w:r>
          </w:p>
        </w:tc>
      </w:tr>
      <w:tr>
        <w:tc>
          <w:tcPr>
            <w:tcW w:type="dxa" w:w="32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Q8　見積合わせは商慣習だから問題ないのでは？</w:t>
            </w:r>
          </w:p>
        </w:tc>
        <w:tc>
          <w:tcPr>
            <w:tcW w:type="dxa" w:w="58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商慣習であっても、競合と金額や受注意欲を調整すれば民間案件でも談合になり得ます。</w:t>
            </w:r>
          </w:p>
        </w:tc>
      </w:tr>
      <w:tr>
        <w:tc>
          <w:tcPr>
            <w:tcW w:type="dxa" w:w="32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Q9　競合から一方的に情報が送られてきたら？</w:t>
            </w:r>
          </w:p>
        </w:tc>
        <w:tc>
          <w:tcPr>
            <w:tcW w:type="dxa" w:w="58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『この種の情報は受け取れません』と返し、メール等を削除せず保全し、報告してください。受け取った情報を社内検討に使わないこと。</w:t>
            </w:r>
          </w:p>
        </w:tc>
      </w:tr>
      <w:tr>
        <w:tc>
          <w:tcPr>
            <w:tcW w:type="dxa" w:w="32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Q10　共同研究や共同購買はカルテルになりませんか？</w:t>
            </w:r>
          </w:p>
        </w:tc>
        <w:tc>
          <w:tcPr>
            <w:tcW w:type="dxa" w:w="58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協業自体は正当です。ただし範囲を超えて価格・顧客・数量・将来方針が共有されないよう、目的・範囲・情報遮断を事前に法務へ確認します。</w:t>
            </w:r>
          </w:p>
        </w:tc>
      </w:tr>
      <w:tr>
        <w:tc>
          <w:tcPr>
            <w:tcW w:type="dxa" w:w="32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Q11　黙って聞いていれば同調にはならないのでは？</w:t>
            </w:r>
          </w:p>
        </w:tc>
        <w:tc>
          <w:tcPr>
            <w:tcW w:type="dxa" w:w="58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沈黙・相づちは同調・黙認と見られ得ます。明確に反対の意思を示し、離脱してください。</w:t>
            </w:r>
          </w:p>
        </w:tc>
      </w:tr>
      <w:tr>
        <w:tc>
          <w:tcPr>
            <w:tcW w:type="dxa" w:w="32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Q12　その場で離脱しにくい雰囲気のときは？</w:t>
            </w:r>
          </w:p>
        </w:tc>
        <w:tc>
          <w:tcPr>
            <w:tcW w:type="dxa" w:w="58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まず自分の発言を止め、反対を表明し、可能な限り早く離席します。難しければ直後に記録・報告してください。</w:t>
            </w:r>
          </w:p>
        </w:tc>
      </w:tr>
      <w:tr>
        <w:tc>
          <w:tcPr>
            <w:tcW w:type="dxa" w:w="32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Q13　AIが価格を決めたら責任はないのでは？</w:t>
            </w:r>
          </w:p>
        </w:tc>
        <w:tc>
          <w:tcPr>
            <w:tcW w:type="dxa" w:w="58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AIやアルゴリズムを使っても責任は免れません。競合の非公開情報をツールに入力しない、AIに価格調整をさせないことが重要です。</w:t>
            </w:r>
          </w:p>
        </w:tc>
      </w:tr>
      <w:tr>
        <w:tc>
          <w:tcPr>
            <w:tcW w:type="dxa" w:w="32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Q14　違反かもと思ったら自分で当局に行くべき？</w:t>
            </w:r>
          </w:p>
        </w:tc>
        <w:tc>
          <w:tcPr>
            <w:tcW w:type="dxa" w:w="58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現場で判断しないでください。課徴金減免（リニエンシー）は順位・タイミングが重要で、申請の要否は会社・法務が判断します。まず速やかに報告を。</w:t>
            </w:r>
          </w:p>
        </w:tc>
      </w:tr>
      <w:tr>
        <w:tc>
          <w:tcPr>
            <w:tcW w:type="dxa" w:w="32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Q15　証拠になりそうなものは消した方が安全では？</w:t>
            </w:r>
          </w:p>
        </w:tc>
        <w:tc>
          <w:tcPr>
            <w:tcW w:type="dxa" w:w="58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削除・改ざんは厳禁で、かえって重大なリスクになります。保全したうえで法務・コンプライアンスの指示に従ってください。</w:t>
            </w:r>
          </w:p>
        </w:tc>
      </w:tr>
      <w:tr>
        <w:tc>
          <w:tcPr>
            <w:tcW w:type="dxa" w:w="32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Q16　海外の競合との会話は日本法だけ見ればよい？</w:t>
            </w:r>
          </w:p>
        </w:tc>
        <w:tc>
          <w:tcPr>
            <w:tcW w:type="dxa" w:w="58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海外competition law（海外競争法）の問題も生じ得ます。海外が関わる案件は法務に相談してください。</w:t>
            </w:r>
          </w:p>
        </w:tc>
      </w:tr>
      <w:tr>
        <w:tc>
          <w:tcPr>
            <w:tcW w:type="dxa" w:w="32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Q17　どこまでが『競合』か分かりません。</w:t>
            </w:r>
          </w:p>
        </w:tc>
        <w:tc>
          <w:tcPr>
            <w:tcW w:type="dxa" w:w="58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競合になり得る相手か迷う場合は、共有しない・法務に相談する、を原則にしてください。</w:t>
            </w:r>
          </w:p>
        </w:tc>
      </w:tr>
      <w:tr>
        <w:tc>
          <w:tcPr>
            <w:tcW w:type="dxa" w:w="32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bCs/>
                <w:color w:val="243B53"/>
                <w:sz w:val="18"/>
                <w:szCs w:val="18"/>
              </w:rPr>
              <w:t xml:space="preserve">Q18　この研修を受ければ独禁法対応は万全ですか？</w:t>
            </w:r>
          </w:p>
        </w:tc>
        <w:tc>
          <w:tcPr>
            <w:tcW w:type="dxa" w:w="58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本研修は出発点です。自社の規程・相談窓口・承認フロー・記録運用と組み合わせて、継続的に運用してください。</w:t>
            </w:r>
          </w:p>
        </w:tc>
      </w:tr>
    </w:tbl>
    <w:sectPr>
      <w:footerReference w:type="default" r:id="rId7"/>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DEE7" w:sz="4" w:space="6"/>
      </w:pBdr>
      <w:tabs>
        <w:tab w:val="right" w:pos="9026"/>
      </w:tabs>
      <w:spacing w:before="60"/>
    </w:pPr>
    <w:r>
      <w:rPr>
        <w:rFonts w:ascii="Meiryo" w:cs="Meiryo" w:eastAsia="Meiryo" w:hAnsi="Meiryo"/>
        <w:color w:val="5B6B7B"/>
        <w:sz w:val="16"/>
        <w:szCs w:val="16"/>
      </w:rPr>
      <w:t xml:space="preserve">Legal GPT｜独占禁止法研修（第16回）</w:t>
    </w:r>
    <w:r>
      <w:rPr>
        <w:rFonts w:ascii="Meiryo" w:cs="Meiryo" w:eastAsia="Meiryo" w:hAnsi="Meiryo"/>
      </w:rPr>
      <w:t xml:space="preserve">	</w:t>
    </w:r>
    <w:r>
      <w:rPr>
        <w:rFonts w:ascii="Meiryo" w:cs="Meiryo" w:eastAsia="Meiryo" w:hAnsi="Meiryo"/>
        <w:color w:val="5B6B7B"/>
        <w:sz w:val="16"/>
        <w:szCs w:val="16"/>
      </w:rPr>
      <w:fldChar w:fldCharType="begin"/>
      <w:instrText xml:space="preserve">PAGE</w:instrText>
      <w:fldChar w:fldCharType="separate"/>
      <w:fldChar w:fldCharType="end"/>
    </w:r>
    <w:r>
      <w:rPr>
        <w:rFonts w:ascii="Meiryo" w:cs="Meiryo" w:eastAsia="Meiryo" w:hAnsi="Meiryo"/>
        <w:color w:val="5B6B7B"/>
        <w:sz w:val="16"/>
        <w:szCs w:val="16"/>
      </w:rPr>
      <w:t xml:space="preserve"> / </w:t>
    </w:r>
    <w:r>
      <w:rPr>
        <w:rFonts w:ascii="Meiryo" w:cs="Meiryo" w:eastAsia="Meiryo" w:hAnsi="Meiryo"/>
        <w:color w:val="5B6B7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80"/>
      </w:pPr>
    </w:lvl>
    <w:lvl w:ilvl="1" w15:tentative="1">
      <w:start w:val="1"/>
      <w:numFmt w:val="bullet"/>
      <w:lvlText w:val="–"/>
      <w:lvlJc w:val="left"/>
      <w:pPr>
        <w:ind w:left="840" w:hanging="280"/>
      </w:pPr>
    </w:lvl>
  </w:abstractNum>
  <w:abstractNum w:abstractNumId="3" w15:restartNumberingAfterBreak="0">
    <w:multiLevelType w:val="hybridMultilevel"/>
    <w:lvl w:ilvl="0" w15:tentative="1">
      <w:start w:val="1"/>
      <w:numFmt w:val="decimal"/>
      <w:lvlText w:val="%1."/>
      <w:lvlJc w:val="left"/>
      <w:pPr>
        <w:ind w:left="460" w:hanging="320"/>
      </w:pPr>
    </w:lvl>
  </w:abstractNum>
  <w:abstractNum w:abstractNumId="4" w15:restartNumberingAfterBreak="0">
    <w:multiLevelType w:val="hybridMultilevel"/>
    <w:lvl w:ilvl="0" w15:tentative="1">
      <w:start w:val="1"/>
      <w:numFmt w:val="decimal"/>
      <w:lvlText w:val="%1."/>
      <w:lvlJc w:val="left"/>
      <w:pPr>
        <w:ind w:left="46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20"/>
      <w:outlineLvl w:val="1"/>
    </w:pPr>
    <w:rPr>
      <w:rFonts w:ascii="Meiryo" w:cs="Meiryo" w:eastAsia="Meiryo" w:hAnsi="Meiryo"/>
      <w:b/>
      <w:bCs/>
      <w:color w:val="16314F"/>
      <w:sz w:val="24"/>
      <w:szCs w:val="24"/>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2026-06-23T02:34:02.807Z</dcterms:created>
  <dcterms:modified xsi:type="dcterms:W3CDTF">2026-06-23T02:34:02.807Z</dcterms:modified>
</cp:coreProperties>
</file>

<file path=docProps/custom.xml><?xml version="1.0" encoding="utf-8"?>
<Properties xmlns="http://schemas.openxmlformats.org/officeDocument/2006/custom-properties" xmlns:vt="http://schemas.openxmlformats.org/officeDocument/2006/docPropsVTypes"/>
</file>