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0"/>
      </w:pPr>
      <w:r>
        <w:rPr>
          <w:rFonts w:ascii="Meiryo" w:cs="Meiryo" w:eastAsia="Meiryo" w:hAnsi="Meiryo"/>
          <w:b/>
          <w:bCs/>
          <w:color w:val="B58A3A"/>
          <w:sz w:val="18"/>
          <w:szCs w:val="18"/>
        </w:rPr>
        <w:t xml:space="preserve">法務・総務のための社内研修資料20選</w:t>
      </w:r>
    </w:p>
    <w:p>
      <w:pPr>
        <w:spacing w:after="40" w:before="0"/>
      </w:pPr>
      <w:r>
        <w:rPr>
          <w:rFonts w:ascii="Meiryo" w:cs="Meiryo" w:eastAsia="Meiryo" w:hAnsi="Meiryo"/>
          <w:b/>
          <w:bCs/>
          <w:color w:val="5B6B7B"/>
          <w:sz w:val="19"/>
          <w:szCs w:val="19"/>
        </w:rPr>
        <w:t xml:space="preserve">第16回　独占禁止法研修</w:t>
      </w:r>
    </w:p>
    <w:p>
      <w:pPr>
        <w:pBdr>
          <w:bottom w:val="single" w:color="B58A3A" w:sz="16" w:space="6"/>
        </w:pBdr>
        <w:spacing w:after="80" w:before="0"/>
      </w:pPr>
      <w:r>
        <w:rPr>
          <w:rFonts w:ascii="Meiryo" w:cs="Meiryo" w:eastAsia="Meiryo" w:hAnsi="Meiryo"/>
          <w:b/>
          <w:bCs/>
          <w:color w:val="16314F"/>
          <w:sz w:val="34"/>
          <w:szCs w:val="34"/>
        </w:rPr>
        <w:t xml:space="preserve">研修運営ガイド</w:t>
      </w:r>
    </w:p>
    <w:p>
      <w:pPr>
        <w:spacing w:after="80" w:before="60"/>
      </w:pPr>
      <w:r>
        <w:rPr>
          <w:rFonts w:ascii="Meiryo" w:cs="Meiryo" w:eastAsia="Meiryo" w:hAnsi="Meiryo"/>
          <w:color w:val="243B53"/>
          <w:sz w:val="21"/>
          <w:szCs w:val="21"/>
        </w:rPr>
        <w:t xml:space="preserve">企画・実施・カスタマイズ・効果測定の手引き</w:t>
      </w:r>
    </w:p>
    <w:p>
      <w:pPr>
        <w:spacing w:after="50" w:before="0"/>
      </w:pPr>
      <w:r>
        <w:rPr>
          <w:rFonts w:ascii="Meiryo" w:cs="Meiryo" w:eastAsia="Meiryo" w:hAnsi="Meiryo"/>
          <w:color w:val="5B6B7B"/>
          <w:sz w:val="18"/>
          <w:szCs w:val="18"/>
        </w:rPr>
        <w:t xml:space="preserve">対象：研修事務局・法務・コンプライアンス・総務（研修の企画運営担当）</w:t>
      </w:r>
    </w:p>
    <w:p>
      <w:pPr>
        <w:spacing w:after="50" w:before="0"/>
      </w:pPr>
      <w:r>
        <w:rPr>
          <w:rFonts w:ascii="Meiryo" w:cs="Meiryo" w:eastAsia="Meiryo" w:hAnsi="Meiryo"/>
          <w:color w:val="5B6B7B"/>
          <w:sz w:val="18"/>
          <w:szCs w:val="18"/>
        </w:rPr>
        <w:t xml:space="preserve">内容：教材構成／タイムテーブル／自社カスタマイズ／実施方法／効果測定／運営Q&amp;A</w:t>
      </w:r>
    </w:p>
    <w:p>
      <w:pPr>
        <w:spacing w:after="50" w:before="0"/>
      </w:pPr>
      <w:r>
        <w:rPr>
          <w:rFonts w:ascii="Meiryo" w:cs="Meiryo" w:eastAsia="Meiryo" w:hAnsi="Meiryo"/>
          <w:color w:val="5B6B7B"/>
          <w:sz w:val="18"/>
          <w:szCs w:val="18"/>
        </w:rPr>
        <w:t xml:space="preserve">法令・制度基準日：2026年6月18日　／　版数：要自社記入</w:t>
      </w:r>
    </w:p>
    <w:p>
      <w:pPr>
        <w:spacing w:after="60"/>
      </w:pPr>
    </w:p>
    <w:tbl>
      <w:tblPr>
        <w:tblW w:type="dxa" w:w="9026"/>
        <w:tblBorders>
          <w:top w:val="single" w:color="16314F" w:sz="2"/>
          <w:left w:val="single" w:color="16314F" w:sz="18"/>
          <w:bottom w:val="single" w:color="16314F" w:sz="2"/>
          <w:right w:val="single" w:color="16314F" w:sz="2"/>
        </w:tblBorders>
      </w:tblPr>
      <w:tblGrid>
        <w:gridCol w:w="9026"/>
      </w:tblGrid>
      <w:tr>
        <w:tc>
          <w:tcPr>
            <w:tcW w:type="dxa" w:w="9026"/>
            <w:shd w:fill="E7D9B8" w:val="clear"/>
            <w:tcMar>
              <w:top w:type="dxa" w:w="110"/>
              <w:left w:type="dxa" w:w="170"/>
              <w:bottom w:type="dxa" w:w="110"/>
              <w:right w:type="dxa" w:w="150"/>
            </w:tcMar>
          </w:tcPr>
          <w:p>
            <w:pPr>
              <w:spacing w:after="60" w:before="0"/>
            </w:pPr>
            <w:r>
              <w:rPr>
                <w:rFonts w:ascii="Meiryo" w:cs="Meiryo" w:eastAsia="Meiryo" w:hAnsi="Meiryo"/>
                <w:b/>
                <w:bCs/>
                <w:color w:val="16314F"/>
                <w:sz w:val="20"/>
                <w:szCs w:val="20"/>
              </w:rPr>
              <w:t xml:space="preserve">本ガイドの前提</w:t>
            </w:r>
          </w:p>
          <w:p>
            <w:pPr>
              <w:spacing w:after="50" w:before="0"/>
            </w:pPr>
            <w:r>
              <w:rPr>
                <w:rFonts w:ascii="Meiryo" w:cs="Meiryo" w:eastAsia="Meiryo" w:hAnsi="Meiryo"/>
                <w:b w:val="false"/>
                <w:bCs w:val="false"/>
                <w:i w:val="false"/>
                <w:iCs w:val="false"/>
                <w:color w:val="263238"/>
                <w:sz w:val="20"/>
                <w:szCs w:val="20"/>
              </w:rPr>
              <w:t xml:space="preserve">本シリーズの教材は、各社が自社の規程・相談窓口・事例に合わせて補充して使うことを前提にした『たたき台』です。配布前のカスタマイズが必須です。</w:t>
            </w:r>
          </w:p>
          <w:p>
            <w:pPr>
              <w:spacing w:after="0" w:before="0"/>
            </w:pPr>
            <w:r>
              <w:rPr>
                <w:rFonts w:ascii="Meiryo" w:cs="Meiryo" w:eastAsia="Meiryo" w:hAnsi="Meiryo"/>
                <w:b w:val="false"/>
                <w:bCs w:val="false"/>
                <w:i w:val="false"/>
                <w:iCs w:val="false"/>
                <w:color w:val="263238"/>
                <w:sz w:val="20"/>
                <w:szCs w:val="20"/>
              </w:rPr>
              <w:t xml:space="preserve">本ガイドおよび教材は一般的な解説であり、個別事案の法的助言ではありません。最終判断は自社の法務・コンプライアンスに従ってください。</w:t>
            </w:r>
          </w:p>
        </w:tc>
      </w:tr>
    </w:tbl>
    <w:p>
      <w:r>
        <w:br w:type="page"/>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1　研修のねらいと対象</w:t>
            </w:r>
          </w:p>
        </w:tc>
      </w:tr>
    </w:tbl>
    <w:p>
      <w:pPr>
        <w:spacing w:after="120" w:before="40" w:line="288"/>
      </w:pPr>
      <w:r>
        <w:rPr>
          <w:rFonts w:ascii="Meiryo" w:cs="Meiryo" w:eastAsia="Meiryo" w:hAnsi="Meiryo"/>
          <w:b w:val="false"/>
          <w:bCs w:val="false"/>
          <w:i w:val="false"/>
          <w:iCs w:val="false"/>
          <w:color w:val="263238"/>
          <w:sz w:val="21"/>
          <w:szCs w:val="21"/>
        </w:rPr>
        <w:t xml:space="preserve">本研修（第16回・独占禁止法）は、社員が日常業務で関わりやすい「カルテル」「入札談合」「競合他社との情報交換」に絞り、現場で判断・行動できる状態を目指します。</w:t>
      </w:r>
    </w:p>
    <w:p>
      <w:pPr>
        <w:spacing w:after="80" w:before="160"/>
      </w:pPr>
      <w:r>
        <w:rPr>
          <w:rFonts w:ascii="Meiryo" w:cs="Meiryo" w:eastAsia="Meiryo" w:hAnsi="Meiryo"/>
          <w:b/>
          <w:bCs/>
          <w:color w:val="243B53"/>
          <w:sz w:val="21"/>
          <w:szCs w:val="21"/>
        </w:rPr>
        <w:t xml:space="preserve">到達目標</w:t>
      </w:r>
    </w:p>
    <w:p>
      <w:pPr>
        <w:pStyle w:val="ListParagraph"/>
        <w:numPr>
          <w:ilvl w:val="0"/>
          <w:numId w:val="2"/>
        </w:numPr>
        <w:spacing w:after="70" w:before="20" w:line="280"/>
      </w:pPr>
      <w:r>
        <w:rPr>
          <w:rFonts w:ascii="Meiryo" w:cs="Meiryo" w:eastAsia="Meiryo" w:hAnsi="Meiryo"/>
          <w:b w:val="false"/>
          <w:bCs w:val="false"/>
          <w:i w:val="false"/>
          <w:iCs w:val="false"/>
          <w:color w:val="263238"/>
          <w:sz w:val="21"/>
          <w:szCs w:val="21"/>
        </w:rPr>
        <w:t xml:space="preserve">競合と話してはいけない情報が分かる</w:t>
      </w:r>
    </w:p>
    <w:p>
      <w:pPr>
        <w:pStyle w:val="ListParagraph"/>
        <w:numPr>
          <w:ilvl w:val="0"/>
          <w:numId w:val="2"/>
        </w:numPr>
        <w:spacing w:after="70" w:before="20" w:line="280"/>
      </w:pPr>
      <w:r>
        <w:rPr>
          <w:rFonts w:ascii="Meiryo" w:cs="Meiryo" w:eastAsia="Meiryo" w:hAnsi="Meiryo"/>
          <w:b w:val="false"/>
          <w:bCs w:val="false"/>
          <w:i w:val="false"/>
          <w:iCs w:val="false"/>
          <w:color w:val="263238"/>
          <w:sz w:val="21"/>
          <w:szCs w:val="21"/>
        </w:rPr>
        <w:t xml:space="preserve">危険な場面で止まれる（沈黙・同調をしない）</w:t>
      </w:r>
    </w:p>
    <w:p>
      <w:pPr>
        <w:pStyle w:val="ListParagraph"/>
        <w:numPr>
          <w:ilvl w:val="0"/>
          <w:numId w:val="2"/>
        </w:numPr>
        <w:spacing w:after="70" w:before="20" w:line="280"/>
      </w:pPr>
      <w:r>
        <w:rPr>
          <w:rFonts w:ascii="Meiryo" w:cs="Meiryo" w:eastAsia="Meiryo" w:hAnsi="Meiryo"/>
          <w:b w:val="false"/>
          <w:bCs w:val="false"/>
          <w:i w:val="false"/>
          <w:iCs w:val="false"/>
          <w:color w:val="263238"/>
          <w:sz w:val="21"/>
          <w:szCs w:val="21"/>
        </w:rPr>
        <w:t xml:space="preserve">離脱・記録・報告ができる</w:t>
      </w:r>
    </w:p>
    <w:p>
      <w:pPr>
        <w:pStyle w:val="ListParagraph"/>
        <w:numPr>
          <w:ilvl w:val="0"/>
          <w:numId w:val="2"/>
        </w:numPr>
        <w:spacing w:after="70" w:before="20" w:line="280"/>
      </w:pPr>
      <w:r>
        <w:rPr>
          <w:rFonts w:ascii="Meiryo" w:cs="Meiryo" w:eastAsia="Meiryo" w:hAnsi="Meiryo"/>
          <w:b w:val="false"/>
          <w:bCs w:val="false"/>
          <w:i w:val="false"/>
          <w:iCs w:val="false"/>
          <w:color w:val="263238"/>
          <w:sz w:val="21"/>
          <w:szCs w:val="21"/>
        </w:rPr>
        <w:t xml:space="preserve">該当性判断・調査対応を現場で独断せず、法務へつなげる</w:t>
      </w:r>
    </w:p>
    <w:p>
      <w:pPr>
        <w:spacing w:after="80" w:before="160"/>
      </w:pPr>
      <w:r>
        <w:rPr>
          <w:rFonts w:ascii="Meiryo" w:cs="Meiryo" w:eastAsia="Meiryo" w:hAnsi="Meiryo"/>
          <w:b/>
          <w:bCs/>
          <w:color w:val="243B53"/>
          <w:sz w:val="21"/>
          <w:szCs w:val="21"/>
        </w:rPr>
        <w:t xml:space="preserve">主な対象</w:t>
      </w:r>
    </w:p>
    <w:p>
      <w:pPr>
        <w:spacing w:after="120" w:before="40" w:line="288"/>
      </w:pPr>
      <w:r>
        <w:rPr>
          <w:rFonts w:ascii="Meiryo" w:cs="Meiryo" w:eastAsia="Meiryo" w:hAnsi="Meiryo"/>
          <w:b w:val="false"/>
          <w:bCs w:val="false"/>
          <w:i w:val="false"/>
          <w:iCs w:val="false"/>
          <w:color w:val="263238"/>
          <w:sz w:val="21"/>
          <w:szCs w:val="21"/>
        </w:rPr>
        <w:t xml:space="preserve">営業／価格決定／購買・調達／入札・見積／事業開発／業界団体参加者／代理店管理／経営層。役割により重点が異なるため、必要に応じて部門別に補足してください。</w:t>
      </w:r>
    </w:p>
    <w:tbl>
      <w:tblPr>
        <w:tblW w:type="dxa" w:w="9026"/>
        <w:tblBorders>
          <w:top w:val="none"/>
          <w:left w:val="none"/>
          <w:bottom w:val="none"/>
          <w:right w:val="none"/>
        </w:tblBorders>
      </w:tblPr>
      <w:tblGrid>
        <w:gridCol w:w="9026"/>
      </w:tblGrid>
      <w:tr>
        <w:tc>
          <w:tcPr>
            <w:tcW w:type="dxa" w:w="9026"/>
            <w:shd w:fill="243B53"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2　教材一式の構成（全10点）</w:t>
            </w:r>
          </w:p>
        </w:tc>
      </w:tr>
    </w:tbl>
    <w:p>
      <w:pPr>
        <w:spacing w:after="120" w:before="40" w:line="288"/>
      </w:pPr>
      <w:r>
        <w:rPr>
          <w:rFonts w:ascii="Meiryo" w:cs="Meiryo" w:eastAsia="Meiryo" w:hAnsi="Meiryo"/>
          <w:b w:val="false"/>
          <w:bCs w:val="false"/>
          <w:i w:val="false"/>
          <w:iCs w:val="false"/>
          <w:color w:val="263238"/>
          <w:sz w:val="21"/>
          <w:szCs w:val="21"/>
        </w:rPr>
        <w:t xml:space="preserve">制作物は、ブログHTML（告知・配布用記事）を含めて全10点です。受講者向けのダウンロード教材は、PowerPoint 1点＋Word 8点の全9点です（ブログHTMLは教材数に含めません）。</w:t>
      </w:r>
    </w:p>
    <w:tbl>
      <w:tblPr>
        <w:tblW w:type="dxa" w:w="9026"/>
        <w:tblBorders>
          <w:top w:val="none"/>
          <w:left w:val="none"/>
          <w:bottom w:val="none"/>
          <w:right w:val="none"/>
        </w:tblBorders>
      </w:tblPr>
      <w:tblGrid>
        <w:gridCol w:w="3000"/>
        <w:gridCol w:w="1900"/>
        <w:gridCol w:w="4126"/>
      </w:tblGrid>
      <w:tr>
        <w:trPr>
          <w:tblHeader/>
        </w:trPr>
        <w:tc>
          <w:tcPr>
            <w:tcW w:type="dxa" w:w="30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教材</w:t>
            </w:r>
          </w:p>
        </w:tc>
        <w:tc>
          <w:tcPr>
            <w:tcW w:type="dxa" w:w="19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形式</w:t>
            </w:r>
          </w:p>
        </w:tc>
        <w:tc>
          <w:tcPr>
            <w:tcW w:type="dxa" w:w="4126"/>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主な用途</w:t>
            </w:r>
          </w:p>
        </w:tc>
      </w:tr>
      <w:tr>
        <w:tc>
          <w:tcPr>
            <w:tcW w:type="dxa" w:w="3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研修スライド</w:t>
            </w:r>
          </w:p>
        </w:tc>
        <w:tc>
          <w:tcPr>
            <w:tcW w:type="dxa" w:w="1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PowerPoint</w:t>
            </w:r>
          </w:p>
        </w:tc>
        <w:tc>
          <w:tcPr>
            <w:tcW w:type="dxa" w:w="41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集合/オンライン研修の本体（全36枚・講師メモ付き）</w:t>
            </w:r>
          </w:p>
        </w:tc>
      </w:tr>
      <w:tr>
        <w:tc>
          <w:tcPr>
            <w:tcW w:type="dxa" w:w="30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ハンドブック</w:t>
            </w:r>
          </w:p>
        </w:tc>
        <w:tc>
          <w:tcPr>
            <w:tcW w:type="dxa" w:w="19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Word</w:t>
            </w:r>
          </w:p>
        </w:tc>
        <w:tc>
          <w:tcPr>
            <w:tcW w:type="dxa" w:w="41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配布・自習用の解説テキスト</w:t>
            </w:r>
          </w:p>
        </w:tc>
      </w:tr>
      <w:tr>
        <w:tc>
          <w:tcPr>
            <w:tcW w:type="dxa" w:w="3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競合接触チェックリスト</w:t>
            </w:r>
          </w:p>
        </w:tc>
        <w:tc>
          <w:tcPr>
            <w:tcW w:type="dxa" w:w="1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Word</w:t>
            </w:r>
          </w:p>
        </w:tc>
        <w:tc>
          <w:tcPr>
            <w:tcW w:type="dxa" w:w="41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会う前・話す内容・会合・入札・離脱の5部構成</w:t>
            </w:r>
          </w:p>
        </w:tc>
      </w:tr>
      <w:tr>
        <w:tc>
          <w:tcPr>
            <w:tcW w:type="dxa" w:w="30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初動対応ツールキット</w:t>
            </w:r>
          </w:p>
        </w:tc>
        <w:tc>
          <w:tcPr>
            <w:tcW w:type="dxa" w:w="19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Word</w:t>
            </w:r>
          </w:p>
        </w:tc>
        <w:tc>
          <w:tcPr>
            <w:tcW w:type="dxa" w:w="41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接触記録・離脱報告・入札談合初動・再発防止の様式</w:t>
            </w:r>
          </w:p>
        </w:tc>
      </w:tr>
      <w:tr>
        <w:tc>
          <w:tcPr>
            <w:tcW w:type="dxa" w:w="3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ケースワークブック</w:t>
            </w:r>
          </w:p>
        </w:tc>
        <w:tc>
          <w:tcPr>
            <w:tcW w:type="dxa" w:w="1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Word</w:t>
            </w:r>
          </w:p>
        </w:tc>
        <w:tc>
          <w:tcPr>
            <w:tcW w:type="dxa" w:w="41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8ケースの個人検討・グループ討議用</w:t>
            </w:r>
          </w:p>
        </w:tc>
      </w:tr>
      <w:tr>
        <w:tc>
          <w:tcPr>
            <w:tcW w:type="dxa" w:w="30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確認テスト</w:t>
            </w:r>
          </w:p>
        </w:tc>
        <w:tc>
          <w:tcPr>
            <w:tcW w:type="dxa" w:w="19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Word</w:t>
            </w:r>
          </w:p>
        </w:tc>
        <w:tc>
          <w:tcPr>
            <w:tcW w:type="dxa" w:w="41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全12問・各1点（解答なし）</w:t>
            </w:r>
          </w:p>
        </w:tc>
      </w:tr>
      <w:tr>
        <w:tc>
          <w:tcPr>
            <w:tcW w:type="dxa" w:w="3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解答・解説</w:t>
            </w:r>
          </w:p>
        </w:tc>
        <w:tc>
          <w:tcPr>
            <w:tcW w:type="dxa" w:w="1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Word</w:t>
            </w:r>
          </w:p>
        </w:tc>
        <w:tc>
          <w:tcPr>
            <w:tcW w:type="dxa" w:w="41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正解／解説／該当スライド／法的根拠の区分</w:t>
            </w:r>
          </w:p>
        </w:tc>
      </w:tr>
      <w:tr>
        <w:tc>
          <w:tcPr>
            <w:tcW w:type="dxa" w:w="30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講師台本</w:t>
            </w:r>
          </w:p>
        </w:tc>
        <w:tc>
          <w:tcPr>
            <w:tcW w:type="dxa" w:w="19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Word</w:t>
            </w:r>
          </w:p>
        </w:tc>
        <w:tc>
          <w:tcPr>
            <w:tcW w:type="dxa" w:w="41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スライド対応の進行スクリプト＋想定問答</w:t>
            </w:r>
          </w:p>
        </w:tc>
      </w:tr>
      <w:tr>
        <w:tc>
          <w:tcPr>
            <w:tcW w:type="dxa" w:w="3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研修運営ガイド</w:t>
            </w:r>
          </w:p>
        </w:tc>
        <w:tc>
          <w:tcPr>
            <w:tcW w:type="dxa" w:w="1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Word</w:t>
            </w:r>
          </w:p>
        </w:tc>
        <w:tc>
          <w:tcPr>
            <w:tcW w:type="dxa" w:w="41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本書（企画・実施・カスタマイズ）</w:t>
            </w:r>
          </w:p>
        </w:tc>
      </w:tr>
      <w:tr>
        <w:tc>
          <w:tcPr>
            <w:tcW w:type="dxa" w:w="30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告知・配布用記事</w:t>
            </w:r>
          </w:p>
        </w:tc>
        <w:tc>
          <w:tcPr>
            <w:tcW w:type="dxa" w:w="19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HTML</w:t>
            </w:r>
          </w:p>
        </w:tc>
        <w:tc>
          <w:tcPr>
            <w:tcW w:type="dxa" w:w="41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社内ポータル等での案内（任意）</w:t>
            </w:r>
          </w:p>
        </w:tc>
      </w:tr>
    </w:tbl>
    <w:tbl>
      <w:tblPr>
        <w:tblW w:type="dxa" w:w="9026"/>
        <w:tblBorders>
          <w:top w:val="none"/>
          <w:left w:val="none"/>
          <w:bottom w:val="none"/>
          <w:right w:val="none"/>
        </w:tblBorders>
      </w:tblPr>
      <w:tblGrid>
        <w:gridCol w:w="9026"/>
      </w:tblGrid>
      <w:tr>
        <w:tc>
          <w:tcPr>
            <w:tcW w:type="dxa" w:w="9026"/>
            <w:shd w:fill="237A75"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3　標準タイムテーブル（45〜55分）</w:t>
            </w:r>
          </w:p>
        </w:tc>
      </w:tr>
    </w:tbl>
    <w:tbl>
      <w:tblPr>
        <w:tblW w:type="dxa" w:w="9026"/>
        <w:tblBorders>
          <w:top w:val="none"/>
          <w:left w:val="none"/>
          <w:bottom w:val="none"/>
          <w:right w:val="none"/>
        </w:tblBorders>
      </w:tblPr>
      <w:tblGrid>
        <w:gridCol w:w="4600"/>
        <w:gridCol w:w="1900"/>
        <w:gridCol w:w="2526"/>
      </w:tblGrid>
      <w:tr>
        <w:trPr>
          <w:tblHeader/>
        </w:trPr>
        <w:tc>
          <w:tcPr>
            <w:tcW w:type="dxa" w:w="4600"/>
            <w:tcBorders>
              <w:top w:val="single" w:color="D4DEE7" w:sz="4"/>
              <w:left w:val="single" w:color="D4DEE7" w:sz="4"/>
              <w:bottom w:val="single" w:color="D4DEE7" w:sz="4"/>
              <w:right w:val="single" w:color="D4DEE7" w:sz="4"/>
            </w:tcBorders>
            <w:shd w:fill="237A75"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区分</w:t>
            </w:r>
          </w:p>
        </w:tc>
        <w:tc>
          <w:tcPr>
            <w:tcW w:type="dxa" w:w="1900"/>
            <w:tcBorders>
              <w:top w:val="single" w:color="D4DEE7" w:sz="4"/>
              <w:left w:val="single" w:color="D4DEE7" w:sz="4"/>
              <w:bottom w:val="single" w:color="D4DEE7" w:sz="4"/>
              <w:right w:val="single" w:color="D4DEE7" w:sz="4"/>
            </w:tcBorders>
            <w:shd w:fill="237A75"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スライド</w:t>
            </w:r>
          </w:p>
        </w:tc>
        <w:tc>
          <w:tcPr>
            <w:tcW w:type="dxa" w:w="2526"/>
            <w:tcBorders>
              <w:top w:val="single" w:color="D4DEE7" w:sz="4"/>
              <w:left w:val="single" w:color="D4DEE7" w:sz="4"/>
              <w:bottom w:val="single" w:color="D4DEE7" w:sz="4"/>
              <w:right w:val="single" w:color="D4DEE7" w:sz="4"/>
            </w:tcBorders>
            <w:shd w:fill="237A75" w:val="clear"/>
            <w:tcMar>
              <w:top w:type="dxa" w:w="70"/>
              <w:left w:type="dxa" w:w="120"/>
              <w:bottom w:type="dxa" w:w="70"/>
              <w:right w:type="dxa" w:w="110"/>
            </w:tcMar>
            <w:vAlign w:val="center"/>
          </w:tcPr>
          <w:p>
            <w:pPr>
              <w:spacing w:after="0" w:before="0" w:line="264"/>
              <w:jc w:val="center"/>
            </w:pPr>
            <w:r>
              <w:rPr>
                <w:rFonts w:ascii="Meiryo" w:cs="Meiryo" w:eastAsia="Meiryo" w:hAnsi="Meiryo"/>
                <w:b/>
                <w:bCs/>
                <w:color w:val="FFFFFF"/>
                <w:sz w:val="19"/>
                <w:szCs w:val="19"/>
              </w:rPr>
              <w:t xml:space="preserve">目安</w:t>
            </w:r>
          </w:p>
        </w:tc>
      </w:tr>
      <w:tr>
        <w:tc>
          <w:tcPr>
            <w:tcW w:type="dxa" w:w="46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導入（趣旨・ゴール・導入ケース）</w:t>
            </w:r>
          </w:p>
        </w:tc>
        <w:tc>
          <w:tcPr>
            <w:tcW w:type="dxa" w:w="1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1〜6</w:t>
            </w:r>
          </w:p>
        </w:tc>
        <w:tc>
          <w:tcPr>
            <w:tcW w:type="dxa" w:w="25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約9分</w:t>
            </w:r>
          </w:p>
        </w:tc>
      </w:tr>
      <w:tr>
        <w:tc>
          <w:tcPr>
            <w:tcW w:type="dxa" w:w="46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基本の理解（カルテル/談合/情報交換/4類型）</w:t>
            </w:r>
          </w:p>
        </w:tc>
        <w:tc>
          <w:tcPr>
            <w:tcW w:type="dxa" w:w="19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7〜14</w:t>
            </w:r>
          </w:p>
        </w:tc>
        <w:tc>
          <w:tcPr>
            <w:tcW w:type="dxa" w:w="25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約13分</w:t>
            </w:r>
          </w:p>
        </w:tc>
      </w:tr>
      <w:tr>
        <w:tc>
          <w:tcPr>
            <w:tcW w:type="dxa" w:w="46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場面別の注意（団体/懇親会/統計/協業/代理店/AI）</w:t>
            </w:r>
          </w:p>
        </w:tc>
        <w:tc>
          <w:tcPr>
            <w:tcW w:type="dxa" w:w="1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15〜21</w:t>
            </w:r>
          </w:p>
        </w:tc>
        <w:tc>
          <w:tcPr>
            <w:tcW w:type="dxa" w:w="25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約11分</w:t>
            </w:r>
          </w:p>
        </w:tc>
      </w:tr>
      <w:tr>
        <w:tc>
          <w:tcPr>
            <w:tcW w:type="dxa" w:w="46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行動原則（離脱/記録/入札/影響/独断しない）</w:t>
            </w:r>
          </w:p>
        </w:tc>
        <w:tc>
          <w:tcPr>
            <w:tcW w:type="dxa" w:w="19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22〜26</w:t>
            </w:r>
          </w:p>
        </w:tc>
        <w:tc>
          <w:tcPr>
            <w:tcW w:type="dxa" w:w="25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約7.5分</w:t>
            </w:r>
          </w:p>
        </w:tc>
      </w:tr>
      <w:tr>
        <w:tc>
          <w:tcPr>
            <w:tcW w:type="dxa" w:w="46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ケース演習（①〜⑥）</w:t>
            </w:r>
          </w:p>
        </w:tc>
        <w:tc>
          <w:tcPr>
            <w:tcW w:type="dxa" w:w="19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27〜32</w:t>
            </w:r>
          </w:p>
        </w:tc>
        <w:tc>
          <w:tcPr>
            <w:tcW w:type="dxa" w:w="25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約6分＋討議</w:t>
            </w:r>
          </w:p>
        </w:tc>
      </w:tr>
      <w:tr>
        <w:tc>
          <w:tcPr>
            <w:tcW w:type="dxa" w:w="46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まとめ・確認テスト案内</w:t>
            </w:r>
          </w:p>
        </w:tc>
        <w:tc>
          <w:tcPr>
            <w:tcW w:type="dxa" w:w="19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33〜36</w:t>
            </w:r>
          </w:p>
        </w:tc>
        <w:tc>
          <w:tcPr>
            <w:tcW w:type="dxa" w:w="25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center"/>
          </w:tcPr>
          <w:p>
            <w:pPr>
              <w:spacing w:after="0" w:before="0" w:line="264"/>
              <w:jc w:val="left"/>
            </w:pPr>
            <w:r>
              <w:rPr>
                <w:rFonts w:ascii="Meiryo" w:cs="Meiryo" w:eastAsia="Meiryo" w:hAnsi="Meiryo"/>
                <w:b w:val="false"/>
                <w:bCs w:val="false"/>
                <w:color w:val="263238"/>
                <w:sz w:val="19"/>
                <w:szCs w:val="19"/>
              </w:rPr>
              <w:t xml:space="preserve">約4.5分</w:t>
            </w:r>
          </w:p>
        </w:tc>
      </w:tr>
    </w:tbl>
    <w:tbl>
      <w:tblPr>
        <w:tblW w:type="dxa" w:w="9026"/>
        <w:tblBorders>
          <w:top w:val="single" w:color="243B53" w:sz="2"/>
          <w:left w:val="single" w:color="243B53" w:sz="18"/>
          <w:bottom w:val="single" w:color="243B53" w:sz="2"/>
          <w:right w:val="single" w:color="243B53" w:sz="2"/>
        </w:tblBorders>
      </w:tblPr>
      <w:tblGrid>
        <w:gridCol w:w="9026"/>
      </w:tblGrid>
      <w:tr>
        <w:tc>
          <w:tcPr>
            <w:tcW w:type="dxa" w:w="9026"/>
            <w:shd w:fill="F6F8FA" w:val="clear"/>
            <w:tcMar>
              <w:top w:type="dxa" w:w="110"/>
              <w:left w:type="dxa" w:w="170"/>
              <w:bottom w:type="dxa" w:w="110"/>
              <w:right w:type="dxa" w:w="150"/>
            </w:tcMar>
          </w:tcPr>
          <w:p>
            <w:pPr>
              <w:spacing w:after="0" w:before="0"/>
            </w:pPr>
            <w:r>
              <w:rPr>
                <w:rFonts w:ascii="Meiryo" w:cs="Meiryo" w:eastAsia="Meiryo" w:hAnsi="Meiryo"/>
                <w:b w:val="false"/>
                <w:bCs w:val="false"/>
                <w:i w:val="false"/>
                <w:iCs w:val="false"/>
                <w:color w:val="263238"/>
                <w:sz w:val="20"/>
                <w:szCs w:val="20"/>
              </w:rPr>
              <w:t xml:space="preserve">ケース（27〜32）を講師解説のみにすると約45分、グループ討議を入れると約55分が目安です。時間が短い場合は、場面別（15〜21）から自社に関係が薄いものを割愛してください。</w:t>
            </w:r>
          </w:p>
        </w:tc>
      </w:tr>
    </w:tbl>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4　実施前の準備（カスタマイズ）</w:t>
            </w:r>
          </w:p>
        </w:tc>
      </w:tr>
    </w:tbl>
    <w:p>
      <w:pPr>
        <w:spacing w:after="120" w:before="40" w:line="288"/>
      </w:pPr>
      <w:r>
        <w:rPr>
          <w:rFonts w:ascii="Meiryo" w:cs="Meiryo" w:eastAsia="Meiryo" w:hAnsi="Meiryo"/>
          <w:b w:val="false"/>
          <w:bCs w:val="false"/>
          <w:i w:val="false"/>
          <w:iCs w:val="false"/>
          <w:color w:val="263238"/>
          <w:sz w:val="21"/>
          <w:szCs w:val="21"/>
        </w:rPr>
        <w:t xml:space="preserve">配布・実施の前に、必ず次の3点を自社仕様に置き換えてください。</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相談窓口・通報窓口：教材中の「【要自社記入：独占禁止法・競合接触に関する相談窓口】」を、実際の部署名・担当・連絡方法に置き換える。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自社ルール：競合接触の事前承認、業界団体参加の届出、入札管理、議事録保管などの社内規程・フローを反映する。</w:t>
      </w:r>
    </w:p>
    <w:p>
      <w:pPr>
        <w:pStyle w:val="ListParagraph"/>
        <w:numPr>
          <w:ilvl w:val="0"/>
          <w:numId w:val="3"/>
        </w:numPr>
        <w:spacing w:after="70" w:before="20" w:line="280"/>
      </w:pPr>
      <w:r>
        <w:rPr>
          <w:rFonts w:ascii="Meiryo" w:cs="Meiryo" w:eastAsia="Meiryo" w:hAnsi="Meiryo"/>
          <w:b w:val="false"/>
          <w:bCs w:val="false"/>
          <w:i w:val="false"/>
          <w:iCs w:val="false"/>
          <w:color w:val="263238"/>
          <w:sz w:val="21"/>
          <w:szCs w:val="21"/>
        </w:rPr>
        <w:t xml:space="preserve">事例：導入ケース・ケース演習を、自社の業界・取引形態に近い例に差し替える（公共入札が無い会社は民間見積中心にするなど）。</w:t>
      </w:r>
    </w:p>
    <w:tbl>
      <w:tblPr>
        <w:tblW w:type="dxa" w:w="9026"/>
        <w:tblBorders>
          <w:top w:val="none"/>
          <w:left w:val="none"/>
          <w:bottom w:val="none"/>
          <w:right w:val="none"/>
        </w:tblBorders>
      </w:tblPr>
      <w:tblGrid>
        <w:gridCol w:w="9026"/>
      </w:tblGrid>
      <w:tr>
        <w:tc>
          <w:tcPr>
            <w:tcW w:type="dxa" w:w="9026"/>
            <w:shd w:fill="2F6B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5　自社カスタマイズ・チェックリスト</w:t>
            </w:r>
          </w:p>
        </w:tc>
      </w:tr>
    </w:tbl>
    <w:p>
      <w:pPr>
        <w:spacing w:after="120" w:before="40" w:line="288"/>
      </w:pPr>
      <w:r>
        <w:rPr>
          <w:rFonts w:ascii="Meiryo" w:cs="Meiryo" w:eastAsia="Meiryo" w:hAnsi="Meiryo"/>
          <w:b w:val="false"/>
          <w:bCs w:val="false"/>
          <w:i w:val="false"/>
          <w:iCs w:val="false"/>
          <w:color w:val="263238"/>
          <w:sz w:val="21"/>
          <w:szCs w:val="21"/>
        </w:rPr>
        <w:t xml:space="preserve">配布前に、以下を確認してください。</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相談窓口（部署・担当・連絡方法）を全教材に記入した</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内部通報窓口（社内・社外）を記入した</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競合接触・業界団体参加・入札管理の自社ルール／承認フローを反映した</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導入ケース・ケース演習を自社の事例に置き換えた</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スライドのフッター・表紙の社名／部署名を調整した</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法令・制度基準日（2026年6月18日）が現時点で最新か確認した</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法令上の義務／指針／自社ルール／推奨実務の区分が、自社の説明と矛盾しないか確認した</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確認テストの配点（各1点・合計12点）と合格ラインの運用を決めた</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受講対象・部門別の重点（営業・購買・入札・代理店管理など）を整理した</w:t>
      </w:r>
    </w:p>
    <w:p>
      <w:pPr>
        <w:spacing w:after="84" w:before="24" w:line="276"/>
        <w:ind w:left="360" w:hanging="300"/>
      </w:pPr>
      <w:r>
        <w:rPr>
          <w:rFonts w:ascii="Meiryo" w:cs="Meiryo" w:eastAsia="Meiryo" w:hAnsi="Meiryo"/>
          <w:color w:val="2F6B4F"/>
          <w:sz w:val="21"/>
          <w:szCs w:val="21"/>
        </w:rPr>
        <w:t xml:space="preserve">☐　</w:t>
      </w:r>
      <w:r>
        <w:rPr>
          <w:rFonts w:ascii="Meiryo" w:cs="Meiryo" w:eastAsia="Meiryo" w:hAnsi="Meiryo"/>
          <w:b w:val="false"/>
          <w:bCs w:val="false"/>
          <w:i w:val="false"/>
          <w:iCs w:val="false"/>
          <w:color w:val="263238"/>
          <w:sz w:val="21"/>
          <w:szCs w:val="21"/>
        </w:rPr>
        <w:t xml:space="preserve">受講記録・効果測定の方法を決めた</w:t>
      </w:r>
    </w:p>
    <w:tbl>
      <w:tblPr>
        <w:tblW w:type="dxa" w:w="9026"/>
        <w:tblBorders>
          <w:top w:val="none"/>
          <w:left w:val="none"/>
          <w:bottom w:val="none"/>
          <w:right w:val="none"/>
        </w:tblBorders>
      </w:tblPr>
      <w:tblGrid>
        <w:gridCol w:w="9026"/>
      </w:tblGrid>
      <w:tr>
        <w:tc>
          <w:tcPr>
            <w:tcW w:type="dxa" w:w="9026"/>
            <w:shd w:fill="243B53"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6　実施方法</w:t>
            </w:r>
          </w:p>
        </w:tc>
      </w:tr>
    </w:tbl>
    <w:p>
      <w:pPr>
        <w:spacing w:after="80" w:before="160"/>
      </w:pPr>
      <w:r>
        <w:rPr>
          <w:rFonts w:ascii="Meiryo" w:cs="Meiryo" w:eastAsia="Meiryo" w:hAnsi="Meiryo"/>
          <w:b/>
          <w:bCs/>
          <w:color w:val="243B53"/>
          <w:sz w:val="21"/>
          <w:szCs w:val="21"/>
        </w:rPr>
        <w:t xml:space="preserve">集合研修</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講師台本に沿って進行。ケースはグループ討議にすると定着しやすい。</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受講者にはハンドブック・チェックリストを事前または当日配布。</w:t>
      </w:r>
    </w:p>
    <w:p>
      <w:pPr>
        <w:spacing w:after="80" w:before="160"/>
      </w:pPr>
      <w:r>
        <w:rPr>
          <w:rFonts w:ascii="Meiryo" w:cs="Meiryo" w:eastAsia="Meiryo" w:hAnsi="Meiryo"/>
          <w:b/>
          <w:bCs/>
          <w:color w:val="243B53"/>
          <w:sz w:val="21"/>
          <w:szCs w:val="21"/>
        </w:rPr>
        <w:t xml:space="preserve">オンライン研修</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スライドを画面共有し、ケースはチャットや投票機能で意見を集める。</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チャットでの私語にも独禁法の論点が及ぶことを冒頭で一言触れる。</w:t>
      </w:r>
    </w:p>
    <w:p>
      <w:pPr>
        <w:spacing w:after="80" w:before="160"/>
      </w:pPr>
      <w:r>
        <w:rPr>
          <w:rFonts w:ascii="Meiryo" w:cs="Meiryo" w:eastAsia="Meiryo" w:hAnsi="Meiryo"/>
          <w:b/>
          <w:bCs/>
          <w:color w:val="243B53"/>
          <w:sz w:val="21"/>
          <w:szCs w:val="21"/>
        </w:rPr>
        <w:t xml:space="preserve">eラーニング・自習</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ハンドブック＋確認テストを中心に構成。スライドのノート（講師メモ）を解説として活用。</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質問の受け皿として相談窓口を明示する。</w:t>
      </w:r>
    </w:p>
    <w:tbl>
      <w:tblPr>
        <w:tblW w:type="dxa" w:w="9026"/>
        <w:tblBorders>
          <w:top w:val="none"/>
          <w:left w:val="none"/>
          <w:bottom w:val="none"/>
          <w:right w:val="none"/>
        </w:tblBorders>
      </w:tblPr>
      <w:tblGrid>
        <w:gridCol w:w="9026"/>
      </w:tblGrid>
      <w:tr>
        <w:tc>
          <w:tcPr>
            <w:tcW w:type="dxa" w:w="9026"/>
            <w:shd w:fill="237A75"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7　受講記録・効果測定</w:t>
            </w:r>
          </w:p>
        </w:tc>
      </w:tr>
    </w:tbl>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受講記録：受講日・対象者・実施形態・確認テスト得点を記録（コンプライアンス体制の整備・運用の記録になります）。</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理解度：確認テストの得点分布を確認し、誤答の多い設問の該当スライドを重点的にフォロー。</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行動変容：競合接触の事前相談・報告の件数、議事録の整備状況などを継続的に把握。</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定期更新：法令・ガイドライン改正や自社の体制変更に合わせて教材を更新。</w:t>
      </w:r>
    </w:p>
    <w:tbl>
      <w:tblPr>
        <w:tblW w:type="dxa" w:w="9026"/>
        <w:tblBorders>
          <w:top w:val="none"/>
          <w:left w:val="none"/>
          <w:bottom w:val="none"/>
          <w:right w:val="none"/>
        </w:tblBorders>
      </w:tblPr>
      <w:tblGrid>
        <w:gridCol w:w="9026"/>
      </w:tblGrid>
      <w:tr>
        <w:tc>
          <w:tcPr>
            <w:tcW w:type="dxa" w:w="9026"/>
            <w:shd w:fill="16314F"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8　法務レビュー上の注意</w:t>
            </w:r>
          </w:p>
        </w:tc>
      </w:tr>
    </w:tbl>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教材の法的記述は、e-Gov法令検索の条文と公正取引委員会の指針など一次資料で確認する。</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『カルテル・入札談合のみがリニエンシーの対象』など、制度の対象範囲を誤って広げないよう注意する。</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断定的に『この行為は必ず違反/必ず適法』と教えず、現場の行動（話さない・離脱・記録・報告・相談）に落とす。</w:t>
      </w:r>
    </w:p>
    <w:p>
      <w:pPr>
        <w:pStyle w:val="ListParagraph"/>
        <w:numPr>
          <w:ilvl w:val="0"/>
          <w:numId w:val="4"/>
        </w:numPr>
        <w:spacing w:after="70" w:before="20" w:line="280"/>
      </w:pPr>
      <w:r>
        <w:rPr>
          <w:rFonts w:ascii="Meiryo" w:cs="Meiryo" w:eastAsia="Meiryo" w:hAnsi="Meiryo"/>
          <w:b w:val="false"/>
          <w:bCs w:val="false"/>
          <w:i w:val="false"/>
          <w:iCs w:val="false"/>
          <w:color w:val="263238"/>
          <w:sz w:val="21"/>
          <w:szCs w:val="21"/>
        </w:rPr>
        <w:t xml:space="preserve">法令・制度基準日（本資料は2026年6月18日）を明記し、改正の有無を定期的に確認する。</w:t>
      </w:r>
    </w:p>
    <w:tbl>
      <w:tblPr>
        <w:tblW w:type="dxa" w:w="9026"/>
        <w:tblBorders>
          <w:top w:val="none"/>
          <w:left w:val="none"/>
          <w:bottom w:val="none"/>
          <w:right w:val="none"/>
        </w:tblBorders>
      </w:tblPr>
      <w:tblGrid>
        <w:gridCol w:w="9026"/>
      </w:tblGrid>
      <w:tr>
        <w:tc>
          <w:tcPr>
            <w:tcW w:type="dxa" w:w="9026"/>
            <w:shd w:fill="243B53" w:val="clear"/>
            <w:tcMar>
              <w:top w:type="dxa" w:w="90"/>
              <w:left w:type="dxa" w:w="160"/>
              <w:bottom w:type="dxa" w:w="90"/>
              <w:right w:type="dxa" w:w="160"/>
            </w:tcMar>
          </w:tcPr>
          <w:p>
            <w:pPr>
              <w:spacing w:after="0" w:before="0"/>
            </w:pPr>
            <w:r>
              <w:rPr>
                <w:rFonts w:ascii="Meiryo" w:cs="Meiryo" w:eastAsia="Meiryo" w:hAnsi="Meiryo"/>
                <w:b/>
                <w:bCs/>
                <w:color w:val="FFFFFF"/>
                <w:sz w:val="23"/>
                <w:szCs w:val="23"/>
              </w:rPr>
              <w:t xml:space="preserve">9　運営上のよくある質問</w:t>
            </w:r>
          </w:p>
        </w:tc>
      </w:tr>
    </w:tbl>
    <w:tbl>
      <w:tblPr>
        <w:tblW w:type="dxa" w:w="9026"/>
        <w:tblBorders>
          <w:top w:val="none"/>
          <w:left w:val="none"/>
          <w:bottom w:val="none"/>
          <w:right w:val="none"/>
        </w:tblBorders>
      </w:tblPr>
      <w:tblGrid>
        <w:gridCol w:w="3000"/>
        <w:gridCol w:w="6026"/>
      </w:tblGrid>
      <w:tr>
        <w:trPr>
          <w:tblHeader/>
        </w:trPr>
        <w:tc>
          <w:tcPr>
            <w:tcW w:type="dxa" w:w="3000"/>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質問</w:t>
            </w:r>
          </w:p>
        </w:tc>
        <w:tc>
          <w:tcPr>
            <w:tcW w:type="dxa" w:w="6026"/>
            <w:tcBorders>
              <w:top w:val="single" w:color="D4DEE7" w:sz="4"/>
              <w:left w:val="single" w:color="D4DEE7" w:sz="4"/>
              <w:bottom w:val="single" w:color="D4DEE7" w:sz="4"/>
              <w:right w:val="single" w:color="D4DEE7" w:sz="4"/>
            </w:tcBorders>
            <w:shd w:fill="16314F" w:val="clear"/>
            <w:tcMar>
              <w:top w:type="dxa" w:w="70"/>
              <w:left w:type="dxa" w:w="120"/>
              <w:bottom w:type="dxa" w:w="70"/>
              <w:right w:type="dxa" w:w="110"/>
            </w:tcMar>
            <w:vAlign w:val="top"/>
          </w:tcPr>
          <w:p>
            <w:pPr>
              <w:spacing w:after="0" w:before="0" w:line="264"/>
              <w:jc w:val="center"/>
            </w:pPr>
            <w:r>
              <w:rPr>
                <w:rFonts w:ascii="Meiryo" w:cs="Meiryo" w:eastAsia="Meiryo" w:hAnsi="Meiryo"/>
                <w:b/>
                <w:bCs/>
                <w:color w:val="FFFFFF"/>
                <w:sz w:val="18"/>
                <w:szCs w:val="18"/>
              </w:rPr>
              <w:t xml:space="preserve">対応</w:t>
            </w:r>
          </w:p>
        </w:tc>
      </w:tr>
      <w:tr>
        <w:tc>
          <w:tcPr>
            <w:tcW w:type="dxa" w:w="3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全部門に同じ内容でよいか</w:t>
            </w:r>
          </w:p>
        </w:tc>
        <w:tc>
          <w:tcPr>
            <w:tcW w:type="dxa" w:w="60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基本は共通でよいが、入札部門・購買部門・代理店管理部門には該当場面を厚めに補足すると効果的。</w:t>
            </w:r>
          </w:p>
        </w:tc>
      </w:tr>
      <w:tr>
        <w:tc>
          <w:tcPr>
            <w:tcW w:type="dxa" w:w="30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時間が30分しか取れない</w:t>
            </w:r>
          </w:p>
        </w:tc>
        <w:tc>
          <w:tcPr>
            <w:tcW w:type="dxa" w:w="60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導入（1〜6）＋基本（7〜14）＋行動原則（22・26）＋まとめ（35）に絞り、ケースは1〜2件に限定。</w:t>
            </w:r>
          </w:p>
        </w:tc>
      </w:tr>
      <w:tr>
        <w:tc>
          <w:tcPr>
            <w:tcW w:type="dxa" w:w="3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役員向けにも使えるか</w:t>
            </w:r>
          </w:p>
        </w:tc>
        <w:tc>
          <w:tcPr>
            <w:tcW w:type="dxa" w:w="60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使えます。違反時の影響（25）と独断しない（26）、ガバナンス上の説明責任を中心に再構成すると良い。</w:t>
            </w:r>
          </w:p>
        </w:tc>
      </w:tr>
      <w:tr>
        <w:tc>
          <w:tcPr>
            <w:tcW w:type="dxa" w:w="3000"/>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テストの合格点はどうする</w:t>
            </w:r>
          </w:p>
        </w:tc>
        <w:tc>
          <w:tcPr>
            <w:tcW w:type="dxa" w:w="6026"/>
            <w:tcBorders>
              <w:top w:val="single" w:color="D4DEE7" w:sz="4"/>
              <w:left w:val="single" w:color="D4DEE7" w:sz="4"/>
              <w:bottom w:val="single" w:color="D4DEE7" w:sz="4"/>
              <w:right w:val="single" w:color="D4DEE7" w:sz="4"/>
            </w:tcBorders>
            <w:shd w:fill="F3F6F9"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目安は8点以上。自社の基準で運用し、低得点者には該当スライドの再受講を案内。</w:t>
            </w:r>
          </w:p>
        </w:tc>
      </w:tr>
      <w:tr>
        <w:tc>
          <w:tcPr>
            <w:tcW w:type="dxa" w:w="3000"/>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教材を改変してよいか</w:t>
            </w:r>
          </w:p>
        </w:tc>
        <w:tc>
          <w:tcPr>
            <w:tcW w:type="dxa" w:w="6026"/>
            <w:tcBorders>
              <w:top w:val="single" w:color="D4DEE7" w:sz="4"/>
              <w:left w:val="single" w:color="D4DEE7" w:sz="4"/>
              <w:bottom w:val="single" w:color="D4DEE7" w:sz="4"/>
              <w:right w:val="single" w:color="D4DEE7" w:sz="4"/>
            </w:tcBorders>
            <w:shd w:fill="FFFFFF" w:val="clear"/>
            <w:tcMar>
              <w:top w:type="dxa" w:w="70"/>
              <w:left w:type="dxa" w:w="120"/>
              <w:bottom w:type="dxa" w:w="70"/>
              <w:right w:type="dxa" w:w="110"/>
            </w:tcMar>
            <w:vAlign w:val="top"/>
          </w:tcPr>
          <w:p>
            <w:pPr>
              <w:spacing w:after="0" w:before="0" w:line="264"/>
              <w:jc w:val="left"/>
            </w:pPr>
            <w:r>
              <w:rPr>
                <w:rFonts w:ascii="Meiryo" w:cs="Meiryo" w:eastAsia="Meiryo" w:hAnsi="Meiryo"/>
                <w:b w:val="false"/>
                <w:bCs w:val="false"/>
                <w:color w:val="263238"/>
                <w:sz w:val="18"/>
                <w:szCs w:val="18"/>
              </w:rPr>
              <w:t xml:space="preserve">自社利用の範囲で自社事例・窓口に改変してください。法的記述を変える場合は法務確認を。</w:t>
            </w:r>
          </w:p>
        </w:tc>
      </w:tr>
    </w:tbl>
    <w:p>
      <w:pPr>
        <w:spacing w:after="40"/>
      </w:pPr>
    </w:p>
    <w:tbl>
      <w:tblPr>
        <w:tblW w:type="dxa" w:w="9026"/>
        <w:tblBorders>
          <w:top w:val="single" w:color="243B53" w:sz="2"/>
          <w:left w:val="single" w:color="243B53" w:sz="18"/>
          <w:bottom w:val="single" w:color="243B53" w:sz="2"/>
          <w:right w:val="single" w:color="243B53" w:sz="2"/>
        </w:tblBorders>
      </w:tblPr>
      <w:tblGrid>
        <w:gridCol w:w="9026"/>
      </w:tblGrid>
      <w:tr>
        <w:tc>
          <w:tcPr>
            <w:tcW w:type="dxa" w:w="9026"/>
            <w:shd w:fill="F6F8FA" w:val="clear"/>
            <w:tcMar>
              <w:top w:type="dxa" w:w="110"/>
              <w:left w:type="dxa" w:w="170"/>
              <w:bottom w:type="dxa" w:w="110"/>
              <w:right w:type="dxa" w:w="150"/>
            </w:tcMar>
          </w:tcPr>
          <w:p>
            <w:pPr>
              <w:spacing w:after="0" w:before="0"/>
            </w:pPr>
            <w:r>
              <w:rPr>
                <w:rFonts w:ascii="Meiryo" w:cs="Meiryo" w:eastAsia="Meiryo" w:hAnsi="Meiryo"/>
                <w:b w:val="false"/>
                <w:bCs w:val="false"/>
                <w:i w:val="false"/>
                <w:iCs w:val="false"/>
                <w:color w:val="263238"/>
                <w:sz w:val="20"/>
                <w:szCs w:val="20"/>
              </w:rPr>
              <w:t xml:space="preserve">相談窓口（記入欄）：【要自社記入：独占禁止法・競合接触に関する相談窓口】</w:t>
            </w:r>
          </w:p>
        </w:tc>
      </w:tr>
    </w:tbl>
    <w:sectPr>
      <w:footerReference w:type="default" r:id="rId7"/>
      <w:pgSz w:w="11906" w:h="16838" w:orient="portrait"/>
      <w:pgMar w:top="1440" w:right="1440" w:bottom="1440" w:left="1440" w:header="708" w:footer="708" w:gutter="0"/>
      <w:pgNumTyp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EE7" w:sz="4" w:space="6"/>
      </w:pBdr>
      <w:tabs>
        <w:tab w:val="right" w:pos="9026"/>
      </w:tabs>
      <w:spacing w:before="60"/>
    </w:pPr>
    <w:r>
      <w:rPr>
        <w:rFonts w:ascii="Meiryo" w:cs="Meiryo" w:eastAsia="Meiryo" w:hAnsi="Meiryo"/>
        <w:color w:val="5B6B7B"/>
        <w:sz w:val="16"/>
        <w:szCs w:val="16"/>
      </w:rPr>
      <w:t xml:space="preserve">Legal GPT｜独占禁止法研修（第16回）</w:t>
    </w:r>
    <w:r>
      <w:rPr>
        <w:rFonts w:ascii="Meiryo" w:cs="Meiryo" w:eastAsia="Meiryo" w:hAnsi="Meiryo"/>
      </w:rPr>
      <w:t xml:space="preserve">	</w:t>
    </w:r>
    <w:r>
      <w:rPr>
        <w:rFonts w:ascii="Meiryo" w:cs="Meiryo" w:eastAsia="Meiryo" w:hAnsi="Meiryo"/>
        <w:color w:val="5B6B7B"/>
        <w:sz w:val="16"/>
        <w:szCs w:val="16"/>
      </w:rPr>
      <w:fldChar w:fldCharType="begin"/>
      <w:instrText xml:space="preserve">PAGE</w:instrText>
      <w:fldChar w:fldCharType="separate"/>
      <w:fldChar w:fldCharType="end"/>
    </w:r>
    <w:r>
      <w:rPr>
        <w:rFonts w:ascii="Meiryo" w:cs="Meiryo" w:eastAsia="Meiryo" w:hAnsi="Meiryo"/>
        <w:color w:val="5B6B7B"/>
        <w:sz w:val="16"/>
        <w:szCs w:val="16"/>
      </w:rPr>
      <w:t xml:space="preserve"> / </w:t>
    </w:r>
    <w:r>
      <w:rPr>
        <w:rFonts w:ascii="Meiryo" w:cs="Meiryo" w:eastAsia="Meiryo" w:hAnsi="Meiryo"/>
        <w:color w:val="5B6B7B"/>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20" w:hanging="280"/>
      </w:pPr>
    </w:lvl>
    <w:lvl w:ilvl="1" w15:tentative="1">
      <w:start w:val="1"/>
      <w:numFmt w:val="bullet"/>
      <w:lvlText w:val="–"/>
      <w:lvlJc w:val="left"/>
      <w:pPr>
        <w:ind w:left="840" w:hanging="280"/>
      </w:pPr>
    </w:lvl>
  </w:abstractNum>
  <w:abstractNum w:abstractNumId="3" w15:restartNumberingAfterBreak="0">
    <w:multiLevelType w:val="hybridMultilevel"/>
    <w:lvl w:ilvl="0" w15:tentative="1">
      <w:start w:val="1"/>
      <w:numFmt w:val="decimal"/>
      <w:lvlText w:val="%1."/>
      <w:lvlJc w:val="left"/>
      <w:pPr>
        <w:ind w:left="460" w:hanging="320"/>
      </w:pPr>
    </w:lvl>
  </w:abstractNum>
  <w:abstractNum w:abstractNumId="4" w15:restartNumberingAfterBreak="0">
    <w:multiLevelType w:val="hybridMultilevel"/>
    <w:lvl w:ilvl="0" w15:tentative="1">
      <w:start w:val="1"/>
      <w:numFmt w:val="decimal"/>
      <w:lvlText w:val="%1."/>
      <w:lvlJc w:val="left"/>
      <w:pPr>
        <w:ind w:left="460" w:hanging="320"/>
      </w:pPr>
    </w:lvl>
  </w:abstractNum>
  <w:num w:numId="1">
    <w:abstractNumId w:val="1"/>
    <w:lvlOverride w:ilvl="0">
      <w:startOverride w:val="1"/>
    </w:lvlOverride>
  </w:num>
  <w:num w:numId="2">
    <w:abstractNumId w:val="3"/>
    <w:lvlOverride w:ilvl="0">
      <w:startOverride w:val="1"/>
    </w:lvlOverride>
  </w:num>
  <w:num w:numId="3">
    <w:abstractNumId w:val="4"/>
    <w:lvlOverride w:ilvl="0">
      <w:startOverride w:val="1"/>
    </w:lvlOverride>
  </w:num>
  <w:num w:numId="4">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Meiryo" w:cs="Meiryo" w:eastAsia="Meiryo" w:hAnsi="Meiryo"/>
        <w:color w:val="263238"/>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outlineLvl w:val="0"/>
    </w:pPr>
    <w:rPr>
      <w:rFonts w:ascii="Meiryo" w:cs="Meiryo" w:eastAsia="Meiryo" w:hAnsi="Meiryo"/>
      <w:b/>
      <w:bCs/>
      <w:color w:val="16314F"/>
      <w:sz w:val="30"/>
      <w:szCs w:val="30"/>
    </w:rPr>
  </w:style>
  <w:style w:type="paragraph" w:styleId="Heading2">
    <w:name w:val="Heading 2"/>
    <w:basedOn w:val="Normal"/>
    <w:next w:val="Normal"/>
    <w:qFormat/>
    <w:pPr>
      <w:spacing w:after="120" w:before="220"/>
      <w:outlineLvl w:val="1"/>
    </w:pPr>
    <w:rPr>
      <w:rFonts w:ascii="Meiryo" w:cs="Meiryo" w:eastAsia="Meiryo" w:hAnsi="Meiryo"/>
      <w:b/>
      <w:bCs/>
      <w:color w:val="16314F"/>
      <w:sz w:val="24"/>
      <w:szCs w:val="24"/>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2026-06-23T02:37:42.956Z</dcterms:created>
  <dcterms:modified xsi:type="dcterms:W3CDTF">2026-06-23T02:37:42.956Z</dcterms:modified>
</cp:coreProperties>
</file>

<file path=docProps/custom.xml><?xml version="1.0" encoding="utf-8"?>
<Properties xmlns="http://schemas.openxmlformats.org/officeDocument/2006/custom-properties" xmlns:vt="http://schemas.openxmlformats.org/officeDocument/2006/docPropsVTypes"/>
</file>