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rFonts w:ascii="Meiryo" w:cs="Meiryo" w:eastAsia="Meiryo" w:hAnsi="Meiryo"/>
          <w:b w:val="false"/>
          <w:bCs w:val="false"/>
          <w:i w:val="false"/>
          <w:iCs w:val="false"/>
          <w:color w:val="263238"/>
          <w:sz w:val="60"/>
          <w:szCs w:val="60"/>
        </w:rPr>
        <w:t xml:space="preserve"/>
      </w:r>
    </w:p>
    <w:p>
      <w:pPr>
        <w:keepNext w:val="false"/>
        <w:spacing w:after="60" w:before="0" w:line="276"/>
        <w:jc w:val="left"/>
      </w:pPr>
      <w:r>
        <w:rPr>
          <w:rFonts w:ascii="Meiryo" w:cs="Meiryo" w:eastAsia="Meiryo" w:hAnsi="Meiryo"/>
          <w:b/>
          <w:bCs/>
          <w:i w:val="false"/>
          <w:iCs w:val="false"/>
          <w:color w:val="B58A3A"/>
          <w:sz w:val="18"/>
          <w:szCs w:val="18"/>
        </w:rPr>
        <w:t xml:space="preserve">法務・総務のための社内研修資料20選</w:t>
      </w:r>
    </w:p>
    <w:p>
      <w:pPr>
        <w:keepNext w:val="false"/>
        <w:spacing w:after="200" w:before="0" w:line="276"/>
        <w:jc w:val="left"/>
      </w:pPr>
      <w:r>
        <w:rPr>
          <w:rFonts w:ascii="Meiryo" w:cs="Meiryo" w:eastAsia="Meiryo" w:hAnsi="Meiryo"/>
          <w:b/>
          <w:bCs/>
          <w:i w:val="false"/>
          <w:iCs w:val="false"/>
          <w:color w:val="5B6B7B"/>
          <w:sz w:val="18"/>
          <w:szCs w:val="18"/>
        </w:rPr>
        <w:t xml:space="preserve">第17回　取適法（中小受託取引適正化法）</w:t>
      </w:r>
    </w:p>
    <w:p>
      <w:pPr>
        <w:spacing w:after="120" w:line="320"/>
      </w:pPr>
      <w:r>
        <w:rPr>
          <w:rFonts w:ascii="Meiryo" w:cs="Meiryo" w:eastAsia="Meiryo" w:hAnsi="Meiryo"/>
          <w:b/>
          <w:bCs/>
          <w:i w:val="false"/>
          <w:iCs w:val="false"/>
          <w:color w:val="16314F"/>
          <w:sz w:val="40"/>
          <w:szCs w:val="40"/>
        </w:rPr>
        <w:t xml:space="preserve">取適法 確認テスト（解答・解説）</w:t>
      </w:r>
    </w:p>
    <w:p>
      <w:pPr>
        <w:keepNext w:val="false"/>
        <w:spacing w:after="240" w:before="0" w:line="276"/>
        <w:jc w:val="left"/>
      </w:pPr>
      <w:r>
        <w:rPr>
          <w:rFonts w:ascii="Meiryo" w:cs="Meiryo" w:eastAsia="Meiryo" w:hAnsi="Meiryo"/>
          <w:b w:val="false"/>
          <w:bCs w:val="false"/>
          <w:i w:val="false"/>
          <w:iCs w:val="false"/>
          <w:color w:val="243B53"/>
          <w:sz w:val="22"/>
          <w:szCs w:val="22"/>
        </w:rPr>
        <w:t xml:space="preserve">全12問の正解・解説・該当スライド・採点の目安</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5EEDF" w:sz="2"/>
              <w:left w:val="single" w:color="B58A3A" w:sz="18"/>
              <w:bottom w:val="single" w:color="F5EEDF" w:sz="2"/>
              <w:right w:val="single" w:color="F5EEDF" w:sz="2"/>
            </w:tcBorders>
            <w:shd w:fill="F5EEDF"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この解答・解説の使い方</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本書は「取適法 確認テスト（問題）」全12問の正解と解説です。採点後のフォローアップ、復習、講師の解説用にお使いください。</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解説では、取適法が定める〈法令上の義務・禁止〉と、各社で整備・運用すべき〈自社ルール〉、トラブル予防のための〈推奨実務〉を区別しています。実際の判断は自社規程と法務・購買・経理・コンプライアンスの確認を前提としてください。</w:t>
            </w:r>
          </w:p>
        </w:tc>
      </w:tr>
    </w:tbl>
    <w:p>
      <w:pPr>
        <w:spacing w:after="0"/>
      </w:pPr>
      <w:r>
        <w:rPr>
          <w:rFonts w:ascii="Meiryo" w:cs="Meiryo" w:eastAsia="Meiryo" w:hAnsi="Meiryo"/>
          <w:b w:val="false"/>
          <w:bCs w:val="false"/>
          <w:i w:val="false"/>
          <w:iCs w:val="false"/>
          <w:color w:val="263238"/>
          <w:sz w:val="50"/>
          <w:szCs w:val="50"/>
        </w:rPr>
        <w:t xml:space="preserve"/>
      </w:r>
    </w:p>
    <w:p>
      <w:pPr>
        <w:pStyle w:val="Heading3"/>
        <w:keepNext/>
        <w:spacing w:after="90" w:before="180"/>
      </w:pPr>
      <w:r>
        <w:rPr>
          <w:rFonts w:ascii="Meiryo" w:cs="Meiryo" w:eastAsia="Meiryo" w:hAnsi="Meiryo"/>
          <w:b/>
          <w:bCs/>
          <w:i w:val="false"/>
          <w:iCs w:val="false"/>
          <w:color w:val="243B53"/>
          <w:sz w:val="22"/>
          <w:szCs w:val="22"/>
        </w:rPr>
        <w:t xml:space="preserve">区分の凡例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trPr>
        <w:tc>
          <w:tcPr>
            <w:tcW w:type="dxa" w:w="3000"/>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9"/>
                <w:szCs w:val="19"/>
              </w:rPr>
              <w:t xml:space="preserve">区分</w:t>
            </w:r>
          </w:p>
        </w:tc>
        <w:tc>
          <w:tcPr>
            <w:tcW w:type="dxa" w:w="6026"/>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9"/>
                <w:szCs w:val="19"/>
              </w:rPr>
              <w:t xml:space="preserve">意味</w:t>
            </w:r>
          </w:p>
        </w:tc>
      </w:tr>
      <w:tr>
        <w:tc>
          <w:tcPr>
            <w:tcW w:type="dxa" w:w="30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B42318"/>
                <w:sz w:val="18"/>
                <w:szCs w:val="18"/>
              </w:rPr>
              <w:t xml:space="preserve">法令上の義務・禁止</w:t>
            </w:r>
          </w:p>
        </w:tc>
        <w:tc>
          <w:tcPr>
            <w:tcW w:type="dxa" w:w="6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取適法（中小受託取引適正化法）が定める義務・禁止行為。違反すると指導・勧告・社名公表・罰金等の対象となり得る。</w:t>
            </w:r>
          </w:p>
        </w:tc>
      </w:tr>
      <w:tr>
        <w:tc>
          <w:tcPr>
            <w:tcW w:type="dxa" w:w="30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8"/>
                <w:szCs w:val="18"/>
              </w:rPr>
              <w:t xml:space="preserve">自社ルール</w:t>
            </w:r>
          </w:p>
        </w:tc>
        <w:tc>
          <w:tcPr>
            <w:tcW w:type="dxa" w:w="6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法令を踏まえ、各社が購買・発注・外注管理規程や運用で具体的に定めるべき事項。</w:t>
            </w:r>
          </w:p>
        </w:tc>
      </w:tr>
      <w:tr>
        <w:tc>
          <w:tcPr>
            <w:tcW w:type="dxa" w:w="30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237A75"/>
                <w:sz w:val="18"/>
                <w:szCs w:val="18"/>
              </w:rPr>
              <w:t xml:space="preserve">推奨実務</w:t>
            </w:r>
          </w:p>
        </w:tc>
        <w:tc>
          <w:tcPr>
            <w:tcW w:type="dxa" w:w="60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法令上の義務ではないが、トラブル予防・説明責任のために推奨される対応。</w:t>
            </w:r>
          </w:p>
        </w:tc>
      </w:tr>
    </w:tbl>
    <w:p>
      <w:pPr>
        <w:spacing w:after="0"/>
      </w:pPr>
      <w:r>
        <w:rPr>
          <w:rFonts w:ascii="Meiryo" w:cs="Meiryo" w:eastAsia="Meiryo" w:hAnsi="Meiryo"/>
          <w:b w:val="false"/>
          <w:bCs w:val="false"/>
          <w:i w:val="false"/>
          <w:iCs w:val="false"/>
          <w:color w:val="263238"/>
          <w:sz w:val="30"/>
          <w:szCs w:val="3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8"/>
                <w:szCs w:val="18"/>
              </w:rPr>
              <w:t xml:space="preserve">法令・制度基準日</w:t>
            </w:r>
          </w:p>
        </w:tc>
        <w:tc>
          <w:tcPr>
            <w:tcW w:type="dxa" w:w="61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2026年6月18日</w:t>
            </w:r>
          </w:p>
        </w:tc>
      </w:tr>
      <w:tr>
        <w:tc>
          <w:tcPr>
            <w:tcW w:type="dxa" w:w="29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8"/>
                <w:szCs w:val="18"/>
              </w:rPr>
              <w:t xml:space="preserve">配点</w:t>
            </w:r>
          </w:p>
        </w:tc>
        <w:tc>
          <w:tcPr>
            <w:tcW w:type="dxa" w:w="61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全12問・各1点（合計12点）。ケース判断は記述内容に応じて採点（採点の目安を各問に記載）</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第1部　○×問題の解答</w:t>
            </w:r>
          </w:p>
          <w:p>
            <w:pPr>
              <w:spacing w:after="0" w:line="240"/>
            </w:pPr>
            <w:r>
              <w:rPr>
                <w:rFonts w:ascii="Meiryo" w:cs="Meiryo" w:eastAsia="Meiryo" w:hAnsi="Meiryo"/>
                <w:b w:val="false"/>
                <w:bCs w:val="false"/>
                <w:i w:val="false"/>
                <w:iCs w:val="false"/>
                <w:color w:val="DCE6F0"/>
                <w:sz w:val="18"/>
                <w:szCs w:val="18"/>
              </w:rPr>
              <w:t xml:space="preserve">各1点</w:t>
            </w:r>
          </w:p>
        </w:tc>
      </w:tr>
    </w:tbl>
    <w:p>
      <w:pPr>
        <w:spacing w:after="0"/>
      </w:pPr>
      <w:r>
        <w:rPr>
          <w:rFonts w:ascii="Meiryo" w:cs="Meiryo" w:eastAsia="Meiryo" w:hAnsi="Meiryo"/>
          <w:b w:val="false"/>
          <w:bCs w:val="false"/>
          <w:i w:val="false"/>
          <w:iCs w:val="false"/>
          <w:color w:val="263238"/>
          <w:sz w:val="30"/>
          <w:szCs w:val="30"/>
        </w:rPr>
        <w:t xml:space="preserve"/>
      </w:r>
    </w:p>
    <w:p>
      <w:pPr>
        <w:keepNext/>
        <w:spacing w:after="70" w:before="160" w:line="276"/>
        <w:jc w:val="left"/>
      </w:pPr>
      <w:r>
        <w:rPr>
          <w:rFonts w:ascii="Meiryo" w:cs="Meiryo" w:eastAsia="Meiryo" w:hAnsi="Meiryo"/>
          <w:b/>
          <w:bCs/>
          <w:i w:val="false"/>
          <w:iCs w:val="false"/>
          <w:color w:val="16314F"/>
          <w:sz w:val="23"/>
          <w:szCs w:val="23"/>
        </w:rPr>
        <w:t xml:space="preserve">Q1　</w:t>
      </w:r>
      <w:r>
        <w:rPr>
          <w:rFonts w:ascii="Meiryo" w:cs="Meiryo" w:eastAsia="Meiryo" w:hAnsi="Meiryo"/>
          <w:b/>
          <w:bCs/>
          <w:i w:val="false"/>
          <w:iCs w:val="false"/>
          <w:color w:val="263238"/>
          <w:sz w:val="21"/>
          <w:szCs w:val="21"/>
        </w:rPr>
        <w:t xml:space="preserve">正解：</w:t>
      </w:r>
      <w:r>
        <w:rPr>
          <w:rFonts w:ascii="Meiryo" w:cs="Meiryo" w:eastAsia="Meiryo" w:hAnsi="Meiryo"/>
          <w:b/>
          <w:bCs/>
          <w:i w:val="false"/>
          <w:iCs w:val="false"/>
          <w:color w:val="B42318"/>
          <w:sz w:val="23"/>
          <w:szCs w:val="23"/>
        </w:rPr>
        <w:t xml:space="preserve">×</w:t>
      </w:r>
    </w:p>
    <w:p>
      <w:pPr>
        <w:keepNext w:val="false"/>
        <w:spacing w:after="60" w:before="40" w:line="284"/>
        <w:jc w:val="left"/>
      </w:pPr>
      <w:r>
        <w:rPr>
          <w:rFonts w:ascii="Meiryo" w:cs="Meiryo" w:eastAsia="Meiryo" w:hAnsi="Meiryo"/>
          <w:b w:val="false"/>
          <w:bCs w:val="false"/>
          <w:i w:val="false"/>
          <w:iCs w:val="false"/>
          <w:color w:val="263238"/>
          <w:sz w:val="19"/>
          <w:szCs w:val="19"/>
        </w:rPr>
        <w:t xml:space="preserve">改正により、取引条件の明示（4条明示）を電子メールやEDI等の電磁的方法で行う場合の「相手方の事前承諾」要件は撤廃されました。承諾を得なくても電磁的方法で明示できます。ただし、明示すべき事項（給付内容・代金額・支払期日・支払方法等）を直ちに、かつ正確に示す必要がある点は変わりません。</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法令上の義務・禁止（変更点）</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6・11</w:t>
            </w:r>
          </w:p>
        </w:tc>
      </w:tr>
    </w:tbl>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8"/>
                <w:szCs w:val="18"/>
              </w:rPr>
              <w:t xml:space="preserve">よくある誤解・誤答時のポイント</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「電子化には相手の承諾が必要」という旧運用のままだと誤答します。改正の方向は“明示の電子化をしやすくする”ものですが、明示義務そのものが緩和されたわけではありません。</w:t>
            </w:r>
          </w:p>
        </w:tc>
      </w:tr>
    </w:tbl>
    <w:p>
      <w:pPr>
        <w:keepNext/>
        <w:spacing w:after="70" w:before="160" w:line="276"/>
        <w:jc w:val="left"/>
      </w:pPr>
      <w:r>
        <w:rPr>
          <w:rFonts w:ascii="Meiryo" w:cs="Meiryo" w:eastAsia="Meiryo" w:hAnsi="Meiryo"/>
          <w:b/>
          <w:bCs/>
          <w:i w:val="false"/>
          <w:iCs w:val="false"/>
          <w:color w:val="16314F"/>
          <w:sz w:val="23"/>
          <w:szCs w:val="23"/>
        </w:rPr>
        <w:t xml:space="preserve">Q2　</w:t>
      </w:r>
      <w:r>
        <w:rPr>
          <w:rFonts w:ascii="Meiryo" w:cs="Meiryo" w:eastAsia="Meiryo" w:hAnsi="Meiryo"/>
          <w:b/>
          <w:bCs/>
          <w:i w:val="false"/>
          <w:iCs w:val="false"/>
          <w:color w:val="263238"/>
          <w:sz w:val="21"/>
          <w:szCs w:val="21"/>
        </w:rPr>
        <w:t xml:space="preserve">正解：</w:t>
      </w:r>
      <w:r>
        <w:rPr>
          <w:rFonts w:ascii="Meiryo" w:cs="Meiryo" w:eastAsia="Meiryo" w:hAnsi="Meiryo"/>
          <w:b/>
          <w:bCs/>
          <w:i w:val="false"/>
          <w:iCs w:val="false"/>
          <w:color w:val="2F6B4F"/>
          <w:sz w:val="23"/>
          <w:szCs w:val="23"/>
        </w:rPr>
        <w:t xml:space="preserve">○</w:t>
      </w:r>
    </w:p>
    <w:p>
      <w:pPr>
        <w:keepNext w:val="false"/>
        <w:spacing w:after="60" w:before="40" w:line="284"/>
        <w:jc w:val="left"/>
      </w:pPr>
      <w:r>
        <w:rPr>
          <w:rFonts w:ascii="Meiryo" w:cs="Meiryo" w:eastAsia="Meiryo" w:hAnsi="Meiryo"/>
          <w:b w:val="false"/>
          <w:bCs w:val="false"/>
          <w:i w:val="false"/>
          <w:iCs w:val="false"/>
          <w:color w:val="263238"/>
          <w:sz w:val="19"/>
          <w:szCs w:val="19"/>
        </w:rPr>
        <w:t xml:space="preserve">製造委託等代金の支払期日は、給付を受領した日（役務提供委託は役務が提供された日）から起算して60日以内で、かつできる限り短い期間内に定めなければなりません。60日は上限であり、「60日ぎりぎりでよい」という趣旨ではありません。</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12</w:t>
            </w:r>
          </w:p>
        </w:tc>
      </w:tr>
    </w:tbl>
    <w:p>
      <w:pPr>
        <w:keepNext/>
        <w:spacing w:after="70" w:before="160" w:line="276"/>
        <w:jc w:val="left"/>
      </w:pPr>
      <w:r>
        <w:rPr>
          <w:rFonts w:ascii="Meiryo" w:cs="Meiryo" w:eastAsia="Meiryo" w:hAnsi="Meiryo"/>
          <w:b/>
          <w:bCs/>
          <w:i w:val="false"/>
          <w:iCs w:val="false"/>
          <w:color w:val="16314F"/>
          <w:sz w:val="23"/>
          <w:szCs w:val="23"/>
        </w:rPr>
        <w:t xml:space="preserve">Q3　</w:t>
      </w:r>
      <w:r>
        <w:rPr>
          <w:rFonts w:ascii="Meiryo" w:cs="Meiryo" w:eastAsia="Meiryo" w:hAnsi="Meiryo"/>
          <w:b/>
          <w:bCs/>
          <w:i w:val="false"/>
          <w:iCs w:val="false"/>
          <w:color w:val="263238"/>
          <w:sz w:val="21"/>
          <w:szCs w:val="21"/>
        </w:rPr>
        <w:t xml:space="preserve">正解：</w:t>
      </w:r>
      <w:r>
        <w:rPr>
          <w:rFonts w:ascii="Meiryo" w:cs="Meiryo" w:eastAsia="Meiryo" w:hAnsi="Meiryo"/>
          <w:b/>
          <w:bCs/>
          <w:i w:val="false"/>
          <w:iCs w:val="false"/>
          <w:color w:val="B42318"/>
          <w:sz w:val="23"/>
          <w:szCs w:val="23"/>
        </w:rPr>
        <w:t xml:space="preserve">×</w:t>
      </w:r>
    </w:p>
    <w:p>
      <w:pPr>
        <w:keepNext w:val="false"/>
        <w:spacing w:after="60" w:before="40" w:line="284"/>
        <w:jc w:val="left"/>
      </w:pPr>
      <w:r>
        <w:rPr>
          <w:rFonts w:ascii="Meiryo" w:cs="Meiryo" w:eastAsia="Meiryo" w:hAnsi="Meiryo"/>
          <w:b w:val="false"/>
          <w:bCs w:val="false"/>
          <w:i w:val="false"/>
          <w:iCs w:val="false"/>
          <w:color w:val="263238"/>
          <w:sz w:val="19"/>
          <w:szCs w:val="19"/>
        </w:rPr>
        <w:t xml:space="preserve">受領日から起算して60日を超える支払は、自社の締め日・支払日の慣行であっても支払遅延に当たり得ます。社内の支払サイト運用は、受領日起算60日以内に収まるように設計する必要があります。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12・18</w:t>
            </w:r>
          </w:p>
        </w:tc>
      </w:tr>
    </w:tbl>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8"/>
                <w:szCs w:val="18"/>
              </w:rPr>
              <w:t xml:space="preserve">よくある誤解・誤答時のポイント</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「うちの支払サイトは昔からこうだから」は理由になりません。慣行・社内ルールが法令の期日を超えている場合は、ルールの側を見直します。</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第2部　四択問題の解答</w:t>
            </w:r>
          </w:p>
          <w:p>
            <w:pPr>
              <w:spacing w:after="0" w:line="240"/>
            </w:pPr>
            <w:r>
              <w:rPr>
                <w:rFonts w:ascii="Meiryo" w:cs="Meiryo" w:eastAsia="Meiryo" w:hAnsi="Meiryo"/>
                <w:b w:val="false"/>
                <w:bCs w:val="false"/>
                <w:i w:val="false"/>
                <w:iCs w:val="false"/>
                <w:color w:val="DCE6F0"/>
                <w:sz w:val="18"/>
                <w:szCs w:val="18"/>
              </w:rPr>
              <w:t xml:space="preserve">各1点</w:t>
            </w:r>
          </w:p>
        </w:tc>
      </w:tr>
    </w:tbl>
    <w:p>
      <w:pPr>
        <w:spacing w:after="0"/>
      </w:pPr>
      <w:r>
        <w:rPr>
          <w:rFonts w:ascii="Meiryo" w:cs="Meiryo" w:eastAsia="Meiryo" w:hAnsi="Meiryo"/>
          <w:b w:val="false"/>
          <w:bCs w:val="false"/>
          <w:i w:val="false"/>
          <w:iCs w:val="false"/>
          <w:color w:val="263238"/>
          <w:sz w:val="30"/>
          <w:szCs w:val="30"/>
        </w:rPr>
        <w:t xml:space="preserve"/>
      </w:r>
    </w:p>
    <w:p>
      <w:pPr>
        <w:keepNext/>
        <w:spacing w:after="70" w:before="160" w:line="276"/>
        <w:jc w:val="left"/>
      </w:pPr>
      <w:r>
        <w:rPr>
          <w:rFonts w:ascii="Meiryo" w:cs="Meiryo" w:eastAsia="Meiryo" w:hAnsi="Meiryo"/>
          <w:b/>
          <w:bCs/>
          <w:i w:val="false"/>
          <w:iCs w:val="false"/>
          <w:color w:val="16314F"/>
          <w:sz w:val="23"/>
          <w:szCs w:val="23"/>
        </w:rPr>
        <w:t xml:space="preserve">Q4　</w:t>
      </w:r>
      <w:r>
        <w:rPr>
          <w:rFonts w:ascii="Meiryo" w:cs="Meiryo" w:eastAsia="Meiryo" w:hAnsi="Meiryo"/>
          <w:b/>
          <w:bCs/>
          <w:i w:val="false"/>
          <w:iCs w:val="false"/>
          <w:color w:val="263238"/>
          <w:sz w:val="21"/>
          <w:szCs w:val="21"/>
        </w:rPr>
        <w:t xml:space="preserve">正解：</w:t>
      </w:r>
      <w:r>
        <w:rPr>
          <w:rFonts w:ascii="Meiryo" w:cs="Meiryo" w:eastAsia="Meiryo" w:hAnsi="Meiryo"/>
          <w:b/>
          <w:bCs/>
          <w:i w:val="false"/>
          <w:iCs w:val="false"/>
          <w:color w:val="237A75"/>
          <w:sz w:val="23"/>
          <w:szCs w:val="23"/>
        </w:rPr>
        <w:t xml:space="preserve">エ（特定運送委託）</w:t>
      </w:r>
    </w:p>
    <w:p>
      <w:pPr>
        <w:keepNext w:val="false"/>
        <w:spacing w:after="60" w:before="40" w:line="284"/>
        <w:jc w:val="left"/>
      </w:pPr>
      <w:r>
        <w:rPr>
          <w:rFonts w:ascii="Meiryo" w:cs="Meiryo" w:eastAsia="Meiryo" w:hAnsi="Meiryo"/>
          <w:b w:val="false"/>
          <w:bCs w:val="false"/>
          <w:i w:val="false"/>
          <w:iCs w:val="false"/>
          <w:color w:val="263238"/>
          <w:sz w:val="19"/>
          <w:szCs w:val="19"/>
        </w:rPr>
        <w:t xml:space="preserve">2026年1月施行の改正で、荷主から運送事業者への運送の委託が「特定運送委託」として新たに対象に加わりました。ア〜ウ（製造委託・修理委託・情報成果物作成委託）は従来からの対象類型です。役務提供委託と合わせ、自社の取引がどの類型に当たり得るかを発注前に確認しま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法令上の義務・禁止（変更点）</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8</w:t>
            </w:r>
          </w:p>
        </w:tc>
      </w:tr>
    </w:tbl>
    <w:p>
      <w:pPr>
        <w:keepNext/>
        <w:spacing w:after="70" w:before="160" w:line="276"/>
        <w:jc w:val="left"/>
      </w:pPr>
      <w:r>
        <w:rPr>
          <w:rFonts w:ascii="Meiryo" w:cs="Meiryo" w:eastAsia="Meiryo" w:hAnsi="Meiryo"/>
          <w:b/>
          <w:bCs/>
          <w:i w:val="false"/>
          <w:iCs w:val="false"/>
          <w:color w:val="16314F"/>
          <w:sz w:val="23"/>
          <w:szCs w:val="23"/>
        </w:rPr>
        <w:t xml:space="preserve">Q5　</w:t>
      </w:r>
      <w:r>
        <w:rPr>
          <w:rFonts w:ascii="Meiryo" w:cs="Meiryo" w:eastAsia="Meiryo" w:hAnsi="Meiryo"/>
          <w:b/>
          <w:bCs/>
          <w:i w:val="false"/>
          <w:iCs w:val="false"/>
          <w:color w:val="263238"/>
          <w:sz w:val="21"/>
          <w:szCs w:val="21"/>
        </w:rPr>
        <w:t xml:space="preserve">正解：</w:t>
      </w:r>
      <w:r>
        <w:rPr>
          <w:rFonts w:ascii="Meiryo" w:cs="Meiryo" w:eastAsia="Meiryo" w:hAnsi="Meiryo"/>
          <w:b/>
          <w:bCs/>
          <w:i w:val="false"/>
          <w:iCs w:val="false"/>
          <w:color w:val="237A75"/>
          <w:sz w:val="23"/>
          <w:szCs w:val="23"/>
        </w:rPr>
        <w:t xml:space="preserve">ウ（協議に応じない一方的な代金の決定）</w:t>
      </w:r>
    </w:p>
    <w:p>
      <w:pPr>
        <w:keepNext w:val="false"/>
        <w:spacing w:after="60" w:before="40" w:line="284"/>
        <w:jc w:val="left"/>
      </w:pPr>
      <w:r>
        <w:rPr>
          <w:rFonts w:ascii="Meiryo" w:cs="Meiryo" w:eastAsia="Meiryo" w:hAnsi="Meiryo"/>
          <w:b w:val="false"/>
          <w:bCs w:val="false"/>
          <w:i w:val="false"/>
          <w:iCs w:val="false"/>
          <w:color w:val="263238"/>
          <w:sz w:val="19"/>
          <w:szCs w:val="19"/>
        </w:rPr>
        <w:t xml:space="preserve">「協議に応じない一方的な代金の決定」は、2026年改正で新たに加わった禁止行為です。価格転嫁・価格協議の実効性を高める趣旨で、コスト上昇分等の協議の申入れに正当な理由なく応じず、一方的に代金を据え置く・決めることが問題となります。ア・イ・エは従来からの禁止行為で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法令上の義務・禁止（変更点）</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16・25</w:t>
            </w:r>
          </w:p>
        </w:tc>
      </w:tr>
    </w:tbl>
    <w:p>
      <w:pPr>
        <w:keepNext/>
        <w:spacing w:after="70" w:before="160" w:line="276"/>
        <w:jc w:val="left"/>
      </w:pPr>
      <w:r>
        <w:rPr>
          <w:rFonts w:ascii="Meiryo" w:cs="Meiryo" w:eastAsia="Meiryo" w:hAnsi="Meiryo"/>
          <w:b/>
          <w:bCs/>
          <w:i w:val="false"/>
          <w:iCs w:val="false"/>
          <w:color w:val="16314F"/>
          <w:sz w:val="23"/>
          <w:szCs w:val="23"/>
        </w:rPr>
        <w:t xml:space="preserve">Q6　</w:t>
      </w:r>
      <w:r>
        <w:rPr>
          <w:rFonts w:ascii="Meiryo" w:cs="Meiryo" w:eastAsia="Meiryo" w:hAnsi="Meiryo"/>
          <w:b/>
          <w:bCs/>
          <w:i w:val="false"/>
          <w:iCs w:val="false"/>
          <w:color w:val="263238"/>
          <w:sz w:val="21"/>
          <w:szCs w:val="21"/>
        </w:rPr>
        <w:t xml:space="preserve">正解：</w:t>
      </w:r>
      <w:r>
        <w:rPr>
          <w:rFonts w:ascii="Meiryo" w:cs="Meiryo" w:eastAsia="Meiryo" w:hAnsi="Meiryo"/>
          <w:b/>
          <w:bCs/>
          <w:i w:val="false"/>
          <w:iCs w:val="false"/>
          <w:color w:val="237A75"/>
          <w:sz w:val="23"/>
          <w:szCs w:val="23"/>
        </w:rPr>
        <w:t xml:space="preserve">ウ</w:t>
      </w:r>
    </w:p>
    <w:p>
      <w:pPr>
        <w:keepNext w:val="false"/>
        <w:spacing w:after="60" w:before="40" w:line="284"/>
        <w:jc w:val="left"/>
      </w:pPr>
      <w:r>
        <w:rPr>
          <w:rFonts w:ascii="Meiryo" w:cs="Meiryo" w:eastAsia="Meiryo" w:hAnsi="Meiryo"/>
          <w:b w:val="false"/>
          <w:bCs w:val="false"/>
          <w:i w:val="false"/>
          <w:iCs w:val="false"/>
          <w:color w:val="263238"/>
          <w:sz w:val="19"/>
          <w:szCs w:val="19"/>
        </w:rPr>
        <w:t xml:space="preserve">支払期日は受領日から起算して60日以内・できる限り短い期間で定め、約束手形による支払は禁止の方向にあります（紙の約束手形は段階的に廃止）。アは支払遅延等の問題があり、イは支払期日までに満額を現金化できない決済手段は支払遅延に当たり得るため誤り、エは支払期日の起算点が受領日である点を誤っていま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法令上の義務・禁止（変更点を含む）</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12・13</w:t>
            </w:r>
          </w:p>
        </w:tc>
      </w:tr>
    </w:tbl>
    <w:p>
      <w:pPr>
        <w:keepNext/>
        <w:spacing w:after="70" w:before="160" w:line="276"/>
        <w:jc w:val="left"/>
      </w:pPr>
      <w:r>
        <w:rPr>
          <w:rFonts w:ascii="Meiryo" w:cs="Meiryo" w:eastAsia="Meiryo" w:hAnsi="Meiryo"/>
          <w:b/>
          <w:bCs/>
          <w:i w:val="false"/>
          <w:iCs w:val="false"/>
          <w:color w:val="16314F"/>
          <w:sz w:val="23"/>
          <w:szCs w:val="23"/>
        </w:rPr>
        <w:t xml:space="preserve">Q7　</w:t>
      </w:r>
      <w:r>
        <w:rPr>
          <w:rFonts w:ascii="Meiryo" w:cs="Meiryo" w:eastAsia="Meiryo" w:hAnsi="Meiryo"/>
          <w:b/>
          <w:bCs/>
          <w:i w:val="false"/>
          <w:iCs w:val="false"/>
          <w:color w:val="263238"/>
          <w:sz w:val="21"/>
          <w:szCs w:val="21"/>
        </w:rPr>
        <w:t xml:space="preserve">正解：</w:t>
      </w:r>
      <w:r>
        <w:rPr>
          <w:rFonts w:ascii="Meiryo" w:cs="Meiryo" w:eastAsia="Meiryo" w:hAnsi="Meiryo"/>
          <w:b/>
          <w:bCs/>
          <w:i w:val="false"/>
          <w:iCs w:val="false"/>
          <w:color w:val="237A75"/>
          <w:sz w:val="23"/>
          <w:szCs w:val="23"/>
        </w:rPr>
        <w:t xml:space="preserve">エ（誤っているもの）</w:t>
      </w:r>
    </w:p>
    <w:p>
      <w:pPr>
        <w:keepNext w:val="false"/>
        <w:spacing w:after="60" w:before="40" w:line="284"/>
        <w:jc w:val="left"/>
      </w:pPr>
      <w:r>
        <w:rPr>
          <w:rFonts w:ascii="Meiryo" w:cs="Meiryo" w:eastAsia="Meiryo" w:hAnsi="Meiryo"/>
          <w:b w:val="false"/>
          <w:bCs w:val="false"/>
          <w:i w:val="false"/>
          <w:iCs w:val="false"/>
          <w:color w:val="263238"/>
          <w:sz w:val="19"/>
          <w:szCs w:val="19"/>
        </w:rPr>
        <w:t xml:space="preserve">中小受託事業者が公正取引委員会等に違反を申告したことを理由とする不利益な取扱い（取引数量の削減・取引停止等）は「報復措置」として禁止され、『正当な理由があれば許される』というものではありません。よってエが誤りです。ア（減額）・イ（買いたたき）・ウ（購入・利用強制）はいずれも正しい理解で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21</w:t>
            </w:r>
          </w:p>
        </w:tc>
      </w:tr>
    </w:tbl>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8"/>
                <w:szCs w:val="18"/>
              </w:rPr>
              <w:t xml:space="preserve">よくある誤解・誤答時のポイント</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取引の見直し自体が一切できない、という意味ではありません。申告“を理由”とする不利益取扱いが禁止されます。見直す場合は申告と無関係の客観的理由と手続が必要です。</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第3部　ケース判断問題の解答</w:t>
            </w:r>
          </w:p>
          <w:p>
            <w:pPr>
              <w:spacing w:after="0" w:line="240"/>
            </w:pPr>
            <w:r>
              <w:rPr>
                <w:rFonts w:ascii="Meiryo" w:cs="Meiryo" w:eastAsia="Meiryo" w:hAnsi="Meiryo"/>
                <w:b w:val="false"/>
                <w:bCs w:val="false"/>
                <w:i w:val="false"/>
                <w:iCs w:val="false"/>
                <w:color w:val="DCE6F0"/>
                <w:sz w:val="18"/>
                <w:szCs w:val="18"/>
              </w:rPr>
              <w:t xml:space="preserve">各1点／①問題となり得る義務・禁止行為　②理由　③とるべき行動</w:t>
            </w:r>
          </w:p>
        </w:tc>
      </w:tr>
    </w:tbl>
    <w:p>
      <w:pPr>
        <w:spacing w:after="0"/>
      </w:pPr>
      <w:r>
        <w:rPr>
          <w:rFonts w:ascii="Meiryo" w:cs="Meiryo" w:eastAsia="Meiryo" w:hAnsi="Meiryo"/>
          <w:b w:val="false"/>
          <w:bCs w:val="false"/>
          <w:i w:val="false"/>
          <w:iCs w:val="false"/>
          <w:color w:val="263238"/>
          <w:sz w:val="30"/>
          <w:szCs w:val="30"/>
        </w:rPr>
        <w:t xml:space="preserve"/>
      </w:r>
    </w:p>
    <w:p>
      <w:pPr>
        <w:keepNext/>
        <w:spacing w:after="60" w:before="170" w:line="276"/>
        <w:jc w:val="left"/>
      </w:pPr>
      <w:r>
        <w:rPr>
          <w:rFonts w:ascii="Meiryo" w:cs="Meiryo" w:eastAsia="Meiryo" w:hAnsi="Meiryo"/>
          <w:b/>
          <w:bCs/>
          <w:i w:val="false"/>
          <w:iCs w:val="false"/>
          <w:color w:val="16314F"/>
          <w:sz w:val="23"/>
          <w:szCs w:val="23"/>
        </w:rPr>
        <w:t xml:space="preserve">Q8　</w:t>
      </w:r>
      <w:r>
        <w:rPr>
          <w:rFonts w:ascii="Meiryo" w:cs="Meiryo" w:eastAsia="Meiryo" w:hAnsi="Meiryo"/>
          <w:b/>
          <w:bCs/>
          <w:i w:val="false"/>
          <w:iCs w:val="false"/>
          <w:color w:val="243B53"/>
          <w:sz w:val="21"/>
          <w:szCs w:val="21"/>
        </w:rPr>
        <w:t xml:space="preserve">発注後の一方的な値下げ</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237A75"/>
                <w:sz w:val="19"/>
                <w:szCs w:val="19"/>
              </w:rPr>
              <w:t xml:space="preserve">解答のポイント</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① 問題となり得るのは「減額」。いったん合意した代金を、発注後に一方的に引き下げようとしている点が問題です。</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② 社内の予算超過は、中小受託事業者の責めに帰すべき理由ではなく、減額を正当化しません。すでに合意した発注分まで遡って下げる依頼は特に問題が大きいといえます。</w:t>
            </w:r>
          </w:p>
          <w:p>
            <w:pPr>
              <w:keepNext w:val="false"/>
              <w:spacing w:after="0" w:before="0" w:line="276"/>
              <w:jc w:val="left"/>
            </w:pPr>
            <w:r>
              <w:rPr>
                <w:rFonts w:ascii="Meiryo" w:cs="Meiryo" w:eastAsia="Meiryo" w:hAnsi="Meiryo"/>
                <w:b w:val="false"/>
                <w:bCs w:val="false"/>
                <w:i w:val="false"/>
                <w:iCs w:val="false"/>
                <w:color w:val="263238"/>
                <w:sz w:val="19"/>
                <w:szCs w:val="19"/>
              </w:rPr>
              <w:t xml:space="preserve">③ 一方的な値下げ依頼を止め、価格を見直す必要があるなら正規の価格協議として行い、合意内容と経緯を記録します。すでに発注した分は合意単価で支払います。判断前に法務・購買へ相談します。</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法令上の義務・禁止（＋推奨実務）</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18・30</w:t>
            </w:r>
          </w:p>
        </w:tc>
      </w:tr>
    </w:tbl>
    <w:p>
      <w:pPr>
        <w:keepNext w:val="false"/>
        <w:spacing w:after="40" w:before="50" w:line="280"/>
        <w:jc w:val="left"/>
      </w:pPr>
      <w:r>
        <w:rPr>
          <w:rFonts w:ascii="Meiryo" w:cs="Meiryo" w:eastAsia="Meiryo" w:hAnsi="Meiryo"/>
          <w:b/>
          <w:bCs/>
          <w:i w:val="false"/>
          <w:iCs w:val="false"/>
          <w:color w:val="16314F"/>
          <w:sz w:val="18"/>
          <w:szCs w:val="18"/>
        </w:rPr>
        <w:t xml:space="preserve">採点の目安：</w:t>
      </w:r>
      <w:r>
        <w:rPr>
          <w:rFonts w:ascii="Meiryo" w:cs="Meiryo" w:eastAsia="Meiryo" w:hAnsi="Meiryo"/>
          <w:b w:val="false"/>
          <w:bCs w:val="false"/>
          <w:i w:val="false"/>
          <w:iCs w:val="false"/>
          <w:color w:val="263238"/>
          <w:sz w:val="18"/>
          <w:szCs w:val="18"/>
        </w:rPr>
        <w:t xml:space="preserve">「減額」を指摘できれば0.5点、③のとるべき行動（協議・記録・合意単価での支払・相談）まで書けていれば満点。</w:t>
      </w:r>
    </w:p>
    <w:p>
      <w:r>
        <w:br w:type="page"/>
      </w:r>
    </w:p>
    <w:p>
      <w:pPr>
        <w:keepNext/>
        <w:spacing w:after="60" w:before="170" w:line="276"/>
        <w:jc w:val="left"/>
      </w:pPr>
      <w:r>
        <w:rPr>
          <w:rFonts w:ascii="Meiryo" w:cs="Meiryo" w:eastAsia="Meiryo" w:hAnsi="Meiryo"/>
          <w:b/>
          <w:bCs/>
          <w:i w:val="false"/>
          <w:iCs w:val="false"/>
          <w:color w:val="16314F"/>
          <w:sz w:val="23"/>
          <w:szCs w:val="23"/>
        </w:rPr>
        <w:t xml:space="preserve">Q9　</w:t>
      </w:r>
      <w:r>
        <w:rPr>
          <w:rFonts w:ascii="Meiryo" w:cs="Meiryo" w:eastAsia="Meiryo" w:hAnsi="Meiryo"/>
          <w:b/>
          <w:bCs/>
          <w:i w:val="false"/>
          <w:iCs w:val="false"/>
          <w:color w:val="243B53"/>
          <w:sz w:val="21"/>
          <w:szCs w:val="21"/>
        </w:rPr>
        <w:t xml:space="preserve">検収の遅れを理由とする支払遅延</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237A75"/>
                <w:sz w:val="19"/>
                <w:szCs w:val="19"/>
              </w:rPr>
              <w:t xml:space="preserve">解答のポイント</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① 問題となり得るのは「支払遅延」。受領日から60日を超えて代金を支払っていない点が問題です。</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② 支払期日の起算点は「給付を受領した日」であって、社内検収が完了した日ではありません。社内検収の遅れは支払期日を先延ばしにする理由になりません。</w:t>
            </w:r>
          </w:p>
          <w:p>
            <w:pPr>
              <w:keepNext w:val="false"/>
              <w:spacing w:after="0" w:before="0" w:line="276"/>
              <w:jc w:val="left"/>
            </w:pPr>
            <w:r>
              <w:rPr>
                <w:rFonts w:ascii="Meiryo" w:cs="Meiryo" w:eastAsia="Meiryo" w:hAnsi="Meiryo"/>
                <w:b w:val="false"/>
                <w:bCs w:val="false"/>
                <w:i w:val="false"/>
                <w:iCs w:val="false"/>
                <w:color w:val="263238"/>
                <w:sz w:val="19"/>
                <w:szCs w:val="19"/>
              </w:rPr>
              <w:t xml:space="preserve">③ 受領日を起算点に支払期日を確認し直し、超過していれば速やかに支払います。遅延が生じている場合は遅延利息（年14.6%）の取扱いも検討します。検収フローを見直し、受領日起算60日以内に支払える運用に改めます。経理・法務へ相談します。</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法令上の義務・禁止（＋推奨実務）</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12・31</w:t>
            </w:r>
          </w:p>
        </w:tc>
      </w:tr>
    </w:tbl>
    <w:p>
      <w:pPr>
        <w:keepNext w:val="false"/>
        <w:spacing w:after="40" w:before="50" w:line="280"/>
        <w:jc w:val="left"/>
      </w:pPr>
      <w:r>
        <w:rPr>
          <w:rFonts w:ascii="Meiryo" w:cs="Meiryo" w:eastAsia="Meiryo" w:hAnsi="Meiryo"/>
          <w:b/>
          <w:bCs/>
          <w:i w:val="false"/>
          <w:iCs w:val="false"/>
          <w:color w:val="16314F"/>
          <w:sz w:val="18"/>
          <w:szCs w:val="18"/>
        </w:rPr>
        <w:t xml:space="preserve">採点の目安：</w:t>
      </w:r>
      <w:r>
        <w:rPr>
          <w:rFonts w:ascii="Meiryo" w:cs="Meiryo" w:eastAsia="Meiryo" w:hAnsi="Meiryo"/>
          <w:b w:val="false"/>
          <w:bCs w:val="false"/>
          <w:i w:val="false"/>
          <w:iCs w:val="false"/>
          <w:color w:val="263238"/>
          <w:sz w:val="18"/>
          <w:szCs w:val="18"/>
        </w:rPr>
        <w:t xml:space="preserve">「支払遅延」と起算点＝受領日を指摘できれば満点に近い。検収完了日を起算点と誤っている記述は減点。</w:t>
      </w:r>
    </w:p>
    <w:p>
      <w:pPr>
        <w:keepNext/>
        <w:spacing w:after="60" w:before="170" w:line="276"/>
        <w:jc w:val="left"/>
      </w:pPr>
      <w:r>
        <w:rPr>
          <w:rFonts w:ascii="Meiryo" w:cs="Meiryo" w:eastAsia="Meiryo" w:hAnsi="Meiryo"/>
          <w:b/>
          <w:bCs/>
          <w:i w:val="false"/>
          <w:iCs w:val="false"/>
          <w:color w:val="16314F"/>
          <w:sz w:val="23"/>
          <w:szCs w:val="23"/>
        </w:rPr>
        <w:t xml:space="preserve">Q10　</w:t>
      </w:r>
      <w:r>
        <w:rPr>
          <w:rFonts w:ascii="Meiryo" w:cs="Meiryo" w:eastAsia="Meiryo" w:hAnsi="Meiryo"/>
          <w:b/>
          <w:bCs/>
          <w:i w:val="false"/>
          <w:iCs w:val="false"/>
          <w:color w:val="243B53"/>
          <w:sz w:val="21"/>
          <w:szCs w:val="21"/>
        </w:rPr>
        <w:t xml:space="preserve">仕様が曖昧なままの無償やり直し</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237A75"/>
                <w:sz w:val="19"/>
                <w:szCs w:val="19"/>
              </w:rPr>
              <w:t xml:space="preserve">解答のポイント</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① 問題となり得るのは「不当な給付内容の変更・やり直し」。追加費用を支払わずに全面的なやり直しを求めている点が問題です。</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② 仕様（色味・トーン等）を明確にしていなかった責任は委託側にもあり、中小受託事業者の責めに帰さない事由による無償の全面やり直しは不当となり得ます。</w:t>
            </w:r>
          </w:p>
          <w:p>
            <w:pPr>
              <w:keepNext w:val="false"/>
              <w:spacing w:after="0" w:before="0" w:line="276"/>
              <w:jc w:val="left"/>
            </w:pPr>
            <w:r>
              <w:rPr>
                <w:rFonts w:ascii="Meiryo" w:cs="Meiryo" w:eastAsia="Meiryo" w:hAnsi="Meiryo"/>
                <w:b w:val="false"/>
                <w:bCs w:val="false"/>
                <w:i w:val="false"/>
                <w:iCs w:val="false"/>
                <w:color w:val="263238"/>
                <w:sz w:val="19"/>
                <w:szCs w:val="19"/>
              </w:rPr>
              <w:t xml:space="preserve">③ やむを得ず変更・やり直しを求める場合は、追加費用・納期を協議のうえ必要な負担を行います。今後は4条明示の段階で仕様・検査基準を具体的に定め、曖昧さを残さないようにします。法務へ相談します。</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法令上の義務・禁止（＋推奨実務）</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24・32</w:t>
            </w:r>
          </w:p>
        </w:tc>
      </w:tr>
    </w:tbl>
    <w:p>
      <w:pPr>
        <w:keepNext w:val="false"/>
        <w:spacing w:after="40" w:before="50" w:line="280"/>
        <w:jc w:val="left"/>
      </w:pPr>
      <w:r>
        <w:rPr>
          <w:rFonts w:ascii="Meiryo" w:cs="Meiryo" w:eastAsia="Meiryo" w:hAnsi="Meiryo"/>
          <w:b/>
          <w:bCs/>
          <w:i w:val="false"/>
          <w:iCs w:val="false"/>
          <w:color w:val="16314F"/>
          <w:sz w:val="18"/>
          <w:szCs w:val="18"/>
        </w:rPr>
        <w:t xml:space="preserve">採点の目安：</w:t>
      </w:r>
      <w:r>
        <w:rPr>
          <w:rFonts w:ascii="Meiryo" w:cs="Meiryo" w:eastAsia="Meiryo" w:hAnsi="Meiryo"/>
          <w:b w:val="false"/>
          <w:bCs w:val="false"/>
          <w:i w:val="false"/>
          <w:iCs w:val="false"/>
          <w:color w:val="263238"/>
          <w:sz w:val="18"/>
          <w:szCs w:val="18"/>
        </w:rPr>
        <w:t xml:space="preserve">「不当なやり直し」を指摘し、無償である点・仕様未確定の責任に触れられていれば満点に近い。</w:t>
      </w:r>
    </w:p>
    <w:p>
      <w:r>
        <w:br w:type="page"/>
      </w:r>
    </w:p>
    <w:p>
      <w:pPr>
        <w:keepNext/>
        <w:spacing w:after="60" w:before="170" w:line="276"/>
        <w:jc w:val="left"/>
      </w:pPr>
      <w:r>
        <w:rPr>
          <w:rFonts w:ascii="Meiryo" w:cs="Meiryo" w:eastAsia="Meiryo" w:hAnsi="Meiryo"/>
          <w:b/>
          <w:bCs/>
          <w:i w:val="false"/>
          <w:iCs w:val="false"/>
          <w:color w:val="16314F"/>
          <w:sz w:val="23"/>
          <w:szCs w:val="23"/>
        </w:rPr>
        <w:t xml:space="preserve">Q11　</w:t>
      </w:r>
      <w:r>
        <w:rPr>
          <w:rFonts w:ascii="Meiryo" w:cs="Meiryo" w:eastAsia="Meiryo" w:hAnsi="Meiryo"/>
          <w:b/>
          <w:bCs/>
          <w:i w:val="false"/>
          <w:iCs w:val="false"/>
          <w:color w:val="243B53"/>
          <w:sz w:val="21"/>
          <w:szCs w:val="21"/>
        </w:rPr>
        <w:t xml:space="preserve">価格転嫁の協議に応じない一方的な発注</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237A75"/>
                <w:sz w:val="19"/>
                <w:szCs w:val="19"/>
              </w:rPr>
              <w:t xml:space="preserve">解答のポイント</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① 問題となり得るのは「協議に応じない一方的な代金の決定」（2026年改正で新設）。状況により「買いたたき」にも当たり得ます。</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② コスト上昇分の価格転嫁について協議の申入れがあるのに、多忙を理由に正当な理由なく応じず、従来単価で発注を続けること自体が問題です。多忙は協議を拒む正当な理由になりません。</w:t>
            </w:r>
          </w:p>
          <w:p>
            <w:pPr>
              <w:keepNext w:val="false"/>
              <w:spacing w:after="0" w:before="0" w:line="276"/>
              <w:jc w:val="left"/>
            </w:pPr>
            <w:r>
              <w:rPr>
                <w:rFonts w:ascii="Meiryo" w:cs="Meiryo" w:eastAsia="Meiryo" w:hAnsi="Meiryo"/>
                <w:b w:val="false"/>
                <w:bCs w:val="false"/>
                <w:i w:val="false"/>
                <w:iCs w:val="false"/>
                <w:color w:val="263238"/>
                <w:sz w:val="19"/>
                <w:szCs w:val="19"/>
              </w:rPr>
              <w:t xml:space="preserve">③ 協議に応じ、原材料費・人件費等の根拠資料に基づいて誠実に交渉し、経緯と結論を記録します。結論を直ちに出せない場合でも、協議の機会自体は設けます。価格転嫁の社内ルール・窓口を整備します。法務・購買へ相談します。</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法令上の義務・禁止（＋推奨実務）</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25・26・34</w:t>
            </w:r>
          </w:p>
        </w:tc>
      </w:tr>
    </w:tbl>
    <w:p>
      <w:pPr>
        <w:keepNext w:val="false"/>
        <w:spacing w:after="40" w:before="50" w:line="280"/>
        <w:jc w:val="left"/>
      </w:pPr>
      <w:r>
        <w:rPr>
          <w:rFonts w:ascii="Meiryo" w:cs="Meiryo" w:eastAsia="Meiryo" w:hAnsi="Meiryo"/>
          <w:b/>
          <w:bCs/>
          <w:i w:val="false"/>
          <w:iCs w:val="false"/>
          <w:color w:val="16314F"/>
          <w:sz w:val="18"/>
          <w:szCs w:val="18"/>
        </w:rPr>
        <w:t xml:space="preserve">採点の目安：</w:t>
      </w:r>
      <w:r>
        <w:rPr>
          <w:rFonts w:ascii="Meiryo" w:cs="Meiryo" w:eastAsia="Meiryo" w:hAnsi="Meiryo"/>
          <w:b w:val="false"/>
          <w:bCs w:val="false"/>
          <w:i w:val="false"/>
          <w:iCs w:val="false"/>
          <w:color w:val="263238"/>
          <w:sz w:val="18"/>
          <w:szCs w:val="18"/>
        </w:rPr>
        <w:t xml:space="preserve">新設の「協議に応じない一方的な代金の決定」を指摘できれば満点に近い。協議に応じる行動と記録に触れていれば加点。</w:t>
      </w:r>
    </w:p>
    <w:p>
      <w:pPr>
        <w:keepNext/>
        <w:spacing w:after="60" w:before="170" w:line="276"/>
        <w:jc w:val="left"/>
      </w:pPr>
      <w:r>
        <w:rPr>
          <w:rFonts w:ascii="Meiryo" w:cs="Meiryo" w:eastAsia="Meiryo" w:hAnsi="Meiryo"/>
          <w:b/>
          <w:bCs/>
          <w:i w:val="false"/>
          <w:iCs w:val="false"/>
          <w:color w:val="16314F"/>
          <w:sz w:val="23"/>
          <w:szCs w:val="23"/>
        </w:rPr>
        <w:t xml:space="preserve">Q12　</w:t>
      </w:r>
      <w:r>
        <w:rPr>
          <w:rFonts w:ascii="Meiryo" w:cs="Meiryo" w:eastAsia="Meiryo" w:hAnsi="Meiryo"/>
          <w:b/>
          <w:bCs/>
          <w:i w:val="false"/>
          <w:iCs w:val="false"/>
          <w:color w:val="243B53"/>
          <w:sz w:val="21"/>
          <w:szCs w:val="21"/>
        </w:rPr>
        <w:t xml:space="preserve">申告を理由とする発注削減の検討</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237A75"/>
                <w:sz w:val="19"/>
                <w:szCs w:val="19"/>
              </w:rPr>
              <w:t xml:space="preserve">解答のポイント</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① 問題となり得るのは「報復措置」。公正取引委員会への相談・申告を理由に、発注量を減らそうとしている点が問題です。</w:t>
            </w:r>
          </w:p>
          <w:p>
            <w:pPr>
              <w:keepNext w:val="false"/>
              <w:spacing w:after="60" w:before="0" w:line="276"/>
              <w:jc w:val="left"/>
            </w:pPr>
            <w:r>
              <w:rPr>
                <w:rFonts w:ascii="Meiryo" w:cs="Meiryo" w:eastAsia="Meiryo" w:hAnsi="Meiryo"/>
                <w:b w:val="false"/>
                <w:bCs w:val="false"/>
                <w:i w:val="false"/>
                <w:iCs w:val="false"/>
                <w:color w:val="263238"/>
                <w:sz w:val="19"/>
                <w:szCs w:val="19"/>
              </w:rPr>
              <w:t xml:space="preserve">② 申告・相談を理由とする取引数量の削減・取引停止等の不利益な取扱いは禁止されています。「付き合いづらい」という主観的理由での発注削減は特に問題が大きいといえます。</w:t>
            </w:r>
          </w:p>
          <w:p>
            <w:pPr>
              <w:keepNext w:val="false"/>
              <w:spacing w:after="0" w:before="0" w:line="276"/>
              <w:jc w:val="left"/>
            </w:pPr>
            <w:r>
              <w:rPr>
                <w:rFonts w:ascii="Meiryo" w:cs="Meiryo" w:eastAsia="Meiryo" w:hAnsi="Meiryo"/>
                <w:b w:val="false"/>
                <w:bCs w:val="false"/>
                <w:i w:val="false"/>
                <w:iCs w:val="false"/>
                <w:color w:val="263238"/>
                <w:sz w:val="19"/>
                <w:szCs w:val="19"/>
              </w:rPr>
              <w:t xml:space="preserve">③ 申告を理由とする発注削減は行いません。取引の見直しが必要な場合でも、申告とは無関係の客観的・正当な理由と手続に基づいて判断し、経緯を記録します。実行前に必ず法務・コンプライアンスへ相談します。</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区分　</w:t>
            </w:r>
            <w:r>
              <w:rPr>
                <w:rFonts w:ascii="Meiryo" w:cs="Meiryo" w:eastAsia="Meiryo" w:hAnsi="Meiryo"/>
                <w:b/>
                <w:bCs/>
                <w:i w:val="false"/>
                <w:iCs w:val="false"/>
                <w:color w:val="B42318"/>
                <w:sz w:val="16"/>
                <w:szCs w:val="16"/>
              </w:rPr>
              <w:t xml:space="preserve">法令上の義務・禁止（＋推奨実務）</w:t>
            </w:r>
          </w:p>
        </w:tc>
        <w:tc>
          <w:tcPr>
            <w:tcW w:type="dxa" w:w="5626"/>
            <w:tcBorders>
              <w:top w:val="single" w:color="EEF2F6" w:sz="4"/>
              <w:left w:val="single" w:color="EEF2F6" w:sz="4"/>
              <w:bottom w:val="single" w:color="EEF2F6" w:sz="4"/>
              <w:right w:val="single" w:color="EEF2F6" w:sz="4"/>
            </w:tcBorders>
            <w:shd w:fill="EEF2F6"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5B6B7B"/>
                <w:sz w:val="15"/>
                <w:szCs w:val="15"/>
              </w:rPr>
              <w:t xml:space="preserve">該当スライド　</w:t>
            </w:r>
            <w:r>
              <w:rPr>
                <w:rFonts w:ascii="Meiryo" w:cs="Meiryo" w:eastAsia="Meiryo" w:hAnsi="Meiryo"/>
                <w:b w:val="false"/>
                <w:bCs w:val="false"/>
                <w:i w:val="false"/>
                <w:iCs w:val="false"/>
                <w:color w:val="243B53"/>
                <w:sz w:val="16"/>
                <w:szCs w:val="16"/>
              </w:rPr>
              <w:t xml:space="preserve">スライド 21・29</w:t>
            </w:r>
          </w:p>
        </w:tc>
      </w:tr>
    </w:tbl>
    <w:p>
      <w:pPr>
        <w:keepNext w:val="false"/>
        <w:spacing w:after="40" w:before="50" w:line="280"/>
        <w:jc w:val="left"/>
      </w:pPr>
      <w:r>
        <w:rPr>
          <w:rFonts w:ascii="Meiryo" w:cs="Meiryo" w:eastAsia="Meiryo" w:hAnsi="Meiryo"/>
          <w:b/>
          <w:bCs/>
          <w:i w:val="false"/>
          <w:iCs w:val="false"/>
          <w:color w:val="16314F"/>
          <w:sz w:val="18"/>
          <w:szCs w:val="18"/>
        </w:rPr>
        <w:t xml:space="preserve">採点の目安：</w:t>
      </w:r>
      <w:r>
        <w:rPr>
          <w:rFonts w:ascii="Meiryo" w:cs="Meiryo" w:eastAsia="Meiryo" w:hAnsi="Meiryo"/>
          <w:b w:val="false"/>
          <w:bCs w:val="false"/>
          <w:i w:val="false"/>
          <w:iCs w:val="false"/>
          <w:color w:val="263238"/>
          <w:sz w:val="18"/>
          <w:szCs w:val="18"/>
        </w:rPr>
        <w:t xml:space="preserve">「報復措置」を指摘し、申告“を理由”とする不利益取扱いが禁止である点に触れられていれば満点に近い。</w:t>
      </w:r>
    </w:p>
    <w:p>
      <w:pPr>
        <w:spacing w:after="0"/>
      </w:pPr>
      <w:r>
        <w:rPr>
          <w:rFonts w:ascii="Meiryo" w:cs="Meiryo" w:eastAsia="Meiryo" w:hAnsi="Meiryo"/>
          <w:b w:val="false"/>
          <w:bCs w:val="false"/>
          <w:i w:val="false"/>
          <w:iCs w:val="false"/>
          <w:color w:val="263238"/>
          <w:sz w:val="40"/>
          <w:szCs w:val="40"/>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AEFF5" w:sz="2"/>
              <w:left w:val="single" w:color="16314F" w:sz="18"/>
              <w:bottom w:val="single" w:color="EAEFF5" w:sz="2"/>
              <w:right w:val="single" w:color="EAEFF5" w:sz="2"/>
            </w:tcBorders>
            <w:shd w:fill="EAEFF5"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採点後のフォローアップ</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誤答が多かった論点（特に支払期日の起算点・新設の禁止行為・報復措置）は、研修スライドの該当箇所に戻って復習します。</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受講者が実務で迷ったときに自己判断で進めないよう、相談先（法務・購買・経理・コンプライアンス）と相談のタイミングを改めて周知してください。</w:t>
            </w:r>
          </w:p>
        </w:tc>
      </w:tr>
    </w:tbl>
    <w:sectPr>
      <w:pgSz w:w="11906" w:h="16838" w:orient="portrait"/>
      <w:pgMar w:top="1440" w:right="1440" w:bottom="130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900" w:hanging="260"/>
      </w:pPr>
      <w:rPr>
        <w:color w:val="5B6B7B"/>
      </w:rPr>
    </w:lvl>
  </w:abstractNum>
  <w:abstractNum w:abstractNumId="3" w15:restartNumberingAfterBreak="0">
    <w:multiLevelType w:val="hybridMultilevel"/>
    <w:lvl w:ilvl="0" w15:tentative="1">
      <w:start w:val="1"/>
      <w:numFmt w:val="bullet"/>
      <w:lvlText w:val="•"/>
      <w:lvlJc w:val="left"/>
      <w:pPr>
        <w:ind w:left="460" w:hanging="260"/>
      </w:pPr>
      <w:rPr>
        <w:color w:val="237A75"/>
      </w:r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Q%1."/>
      <w:lvlJc w:val="left"/>
      <w:pPr>
        <w:ind w:left="560" w:hanging="560"/>
      </w:pPr>
      <w:rPr>
        <w:b/>
        <w:bCs/>
        <w:color w:val="16314F"/>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12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40"/>
      <w:outlineLvl w:val="1"/>
    </w:pPr>
    <w:rPr>
      <w:rFonts w:ascii="Meiryo" w:cs="Meiryo" w:eastAsia="Meiryo" w:hAnsi="Meiryo"/>
      <w:b/>
      <w:bCs/>
      <w:color w:val="16314F"/>
      <w:sz w:val="25"/>
      <w:szCs w:val="25"/>
    </w:rPr>
  </w:style>
  <w:style w:type="paragraph" w:styleId="Heading3">
    <w:name w:val="Heading 3"/>
    <w:basedOn w:val="Normal"/>
    <w:next w:val="Normal"/>
    <w:qFormat/>
    <w:pPr>
      <w:spacing w:after="90" w:before="180"/>
      <w:outlineLvl w:val="2"/>
    </w:pPr>
    <w:rPr>
      <w:rFonts w:ascii="Meiryo" w:cs="Meiryo" w:eastAsia="Meiryo" w:hAnsi="Meiryo"/>
      <w:b/>
      <w:bCs/>
      <w:color w:val="243B53"/>
      <w:sz w:val="22"/>
      <w:szCs w:val="22"/>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取適法 確認テスト（解答・解説）</dc:title>
  <dc:creator>Legal GPT</dc:creator>
  <dc:description>取適法 社内研修資料 第17回</dc:description>
  <cp:lastModifiedBy>Un-named</cp:lastModifiedBy>
  <cp:revision>1</cp:revision>
  <dcterms:created xsi:type="dcterms:W3CDTF">2026-06-23T03:41:44.037Z</dcterms:created>
  <dcterms:modified xsi:type="dcterms:W3CDTF">2026-06-23T03:41:44.037Z</dcterms:modified>
</cp:coreProperties>
</file>

<file path=docProps/custom.xml><?xml version="1.0" encoding="utf-8"?>
<Properties xmlns="http://schemas.openxmlformats.org/officeDocument/2006/custom-properties" xmlns:vt="http://schemas.openxmlformats.org/officeDocument/2006/docPropsVTypes"/>
</file>