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60"/>
          <w:szCs w:val="60"/>
        </w:rPr>
        <w:t xml:space="preserve"/>
      </w:r>
    </w:p>
    <w:p>
      <w:pPr>
        <w:keepNext w:val="false"/>
        <w:spacing w:after="6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B58A3A"/>
          <w:sz w:val="18"/>
          <w:szCs w:val="18"/>
        </w:rPr>
        <w:t xml:space="preserve">法務・総務のための社内研修資料20選</w:t>
      </w:r>
    </w:p>
    <w:p>
      <w:pPr>
        <w:keepNext w:val="false"/>
        <w:spacing w:after="20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8"/>
          <w:szCs w:val="18"/>
        </w:rPr>
        <w:t xml:space="preserve">第17回　取適法（中小受託取引適正化法）</w:t>
      </w:r>
    </w:p>
    <w:p>
      <w:pPr>
        <w:spacing w:after="120" w:line="3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40"/>
          <w:szCs w:val="40"/>
        </w:rPr>
        <w:t xml:space="preserve">取適法 ケースワークブック</w:t>
      </w:r>
    </w:p>
    <w:p>
      <w:pPr>
        <w:keepNext w:val="false"/>
        <w:spacing w:after="240" w:before="0" w:line="276"/>
        <w:jc w:val="left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43B53"/>
          <w:sz w:val="22"/>
          <w:szCs w:val="22"/>
        </w:rPr>
        <w:t xml:space="preserve">発注・支払・価格協議・変更・禁止行為を、8つの具体的ケースで考える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E6F1F0" w:sz="2"/>
              <w:left w:val="single" w:color="237A75" w:sz="18"/>
              <w:bottom w:val="single" w:color="E6F1F0" w:sz="2"/>
              <w:right w:val="single" w:color="E6F1F0" w:sz="2"/>
            </w:tcBorders>
            <w:shd w:fill="E6F1F0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進め方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各ケースの「場面」を読み、検討欄①〜⑫に、個人またはグループで考えを書き込みます。正解を一つに絞ることより、「何を確認し、誰に相談し、何を記録するか」を言葉にすることが目的です。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書き込みが終わったら、講師台本・解答解説と対応スライドで答え合わせをします。</w:t>
            </w:r>
          </w:p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本ワークブックは取適法該当性・違反該当性を判定するものではありません。実際の案件は自社規程と法務・購買・経理・コンプライアンスの確認を前提とします。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ケースは貴社の取引実態に合わせて自社化してご利用ください。実在の企業・取引先・案件・官公庁名を当てはめる際は、機密情報・個人情報の取扱いに注意してください。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30"/>
          <w:szCs w:val="3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7"/>
          <w:szCs w:val="17"/>
        </w:rPr>
        <w:t xml:space="preserve">法令・制度基準日：2026年6月18日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ケース1　発注後の一方的な値下げ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外注先へ発注した後、社内予算が削られたことを理由に「今回は10％引きでお願いします」と伝えようとしている。外注先に落ち度はなく、すでに作業は進んでいる。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減額／予算不足を理由とする一方的変更／協議・承認・記録／既に伝えた場合の初動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ケース2　検収遅れを理由に支払遅延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成果物は納品済みだが、社内の検収担当者が忙しく確認できていない。発注担当者は「検収が終わるまで支払えない」と考え、支払期日を過ぎても支払処理を止めている。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支払遅延／検収遅れ・社内処理遅れ／60日以内支払／支払期日の起算点／経理・購買連携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ケース3　無償やり直しの要求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発注時の仕様が曖昧だったにもかかわらず、納品後に「イメージと違う」として、追加費用なしで全面的な修正を求めようとしている。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不当な給付内容の変更・やり直し／仕様不明確／中小受託事業者に責任がない／追加代金・変更記録／検収基準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ケース4　協賛金・商品購入の要請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発注部門が、継続的な取引先に対し、自社イベントへの協賛金や自社商品の購入を依頼した。相手は今後の受注継続を気にして断りにくい立場である。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不当な経済上の利益提供要請／購入・利用強制／取引継続への期待・発注者の立場／第14話・第15話との接続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ケース5　価格協議を拒む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中小受託事業者から、原材料費・人件費の上昇を理由に価格改定の協議を求められた。発注担当者は「値上げの話は受け付けない」「前年単価でないと発注しない」と伝えようとしている。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協議に応じない一方的な代金決定／買いたたき／価格転嫁／協議記録／上長・購買・法務相談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ケース6　手形払・支払条件の問題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発注担当者が、従来どおり手形払を前提に発注しようとしている。相手方からは現金払い、または支払期日までに満額を現金化できる方法を求められている。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手形払禁止／支払方法／期日までに満額現金化できるか／経理連携／支払条件の見直し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ケース7　有償支給材料の早期決済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自社が中小受託事業者に材料を有償支給している。完成品の代金支払より前に、材料代だけを先に決済させようとしている。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有償支給原材料等の対価の早期決済／資金繰り負担／支払時期・経理処理／取引条件確認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p>
      <w:r>
        <w:br w:type="pag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16314F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FFFFFF"/>
                <w:sz w:val="24"/>
                <w:szCs w:val="24"/>
              </w:rPr>
              <w:t xml:space="preserve">ケース8　申告後の発注削減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40"/>
          <w:szCs w:val="40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tcBorders>
              <w:top w:val="single" w:color="F5EEDF" w:sz="2"/>
              <w:left w:val="single" w:color="B58A3A" w:sz="18"/>
              <w:bottom w:val="single" w:color="F5EEDF" w:sz="2"/>
              <w:right w:val="single" w:color="F5EEDF" w:sz="2"/>
            </w:tcBorders>
            <w:shd w:fill="F5EEDF" w:val="clear"/>
            <w:tcMar>
              <w:top w:type="dxa" w:w="120"/>
              <w:left w:type="dxa" w:w="170"/>
              <w:bottom w:type="dxa" w:w="120"/>
              <w:right w:type="dxa" w:w="170"/>
            </w:tcMar>
          </w:tcPr>
          <w:p>
            <w:pPr>
              <w:keepNext w:val="false"/>
              <w:spacing w:after="6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場面</w:t>
            </w:r>
          </w:p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>中小受託事業者が、支払遅延について相談窓口へ申告した。その後、発注担当者が「面倒な会社なので発注を減らそう」と考えている。</w:t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8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関連しうる論点：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報復措置／申告後の取引数量削減・取引停止／現場判断の禁止／記録保全／法務・購買・コンプライアンス相談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50"/>
        <w:gridCol w:w="5976"/>
      </w:tblGrid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① 発注・取引の場面（要点）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② 対象取引に当たり得るか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③ 関係する義務・禁止行為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④ 何が問題か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⑤ 発注前に確認すべきこと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⑥ 発注後にしてはいけないこと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⑦ 協議・記録・承認の要否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⑧ 既に起きた場合の初動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⑨ 証拠として残すべきもの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⑩ 報告先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⑪ 現場が独断してはいけないこと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50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shd w:fill="EAEFF5" w:val="clear"/>
            <w:tcMar>
              <w:top w:type="dxa" w:w="70"/>
              <w:left w:type="dxa" w:w="110"/>
              <w:bottom w:type="dxa" w:w="70"/>
              <w:right w:type="dxa" w:w="90"/>
            </w:tcMar>
            <w:vAlign w:val="top"/>
          </w:tcPr>
          <w:p>
            <w:pPr>
              <w:keepNext w:val="false"/>
              <w:spacing w:after="0" w:before="0" w:line="276"/>
              <w:jc w:val="left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7"/>
                <w:szCs w:val="17"/>
              </w:rPr>
              <w:t xml:space="preserve">⑫ 再発防止策</w:t>
            </w:r>
          </w:p>
        </w:tc>
        <w:tc>
          <w:tcPr>
            <w:tcW w:type="dxa" w:w="5976"/>
            <w:tcBorders>
              <w:top w:val="single" w:color="C9D3DD" w:sz="4"/>
              <w:left w:val="single" w:color="C9D3DD" w:sz="4"/>
              <w:bottom w:val="single" w:color="C9D3DD" w:sz="4"/>
              <w:right w:val="single" w:color="C9D3DD" w:sz="4"/>
            </w:tcBorders>
            <w:tcMar>
              <w:top w:type="dxa" w:w="70"/>
              <w:left w:type="dxa" w:w="120"/>
              <w:bottom w:type="dxa" w:w="90"/>
              <w:right w:type="dxa" w:w="120"/>
            </w:tcMar>
          </w:tcPr>
          <w:p>
            <w:pPr>
              <w:pBdr>
                <w:bottom w:val="single" w:color="C9D3DD" w:sz="4"/>
              </w:pBdr>
              <w:spacing w:after="0" w:before="2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C9D3DD" w:sz="4"/>
              </w:pBdr>
              <w:spacing w:after="0" w:before="1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8"/>
                <w:szCs w:val="18"/>
              </w:rPr>
              <w:t xml:space="preserve"/>
            </w:r>
          </w:p>
        </w:tc>
      </w:tr>
    </w:tbl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keepNext w:val="false"/>
        <w:spacing w:after="4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18"/>
          <w:szCs w:val="18"/>
        </w:rPr>
        <w:t xml:space="preserve">グループ討議メモ</w:t>
      </w:r>
    </w:p>
    <w:p>
      <w:pPr>
        <w:pBdr>
          <w:bottom w:val="single" w:color="C9D3DD" w:sz="4"/>
        </w:pBdr>
        <w:spacing w:after="0" w:before="4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pBdr>
          <w:bottom w:val="single" w:color="C9D3DD" w:sz="4"/>
        </w:pBdr>
        <w:spacing w:after="0" w:before="15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/>
      </w:r>
    </w:p>
    <w:p>
      <w:pPr>
        <w:spacing w:after="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10"/>
          <w:szCs w:val="10"/>
        </w:rPr>
        <w:t xml:space="preserve"/>
      </w:r>
    </w:p>
    <w:p>
      <w:pPr>
        <w:keepNext w:val="false"/>
        <w:spacing w:after="0" w:before="0" w:line="276"/>
        <w:jc w:val="left"/>
      </w:pPr>
      <w:r>
        <w:rPr>
          <w:rFonts w:ascii="Meiryo" w:cs="Meiryo" w:eastAsia="Meiryo" w:hAnsi="Meiryo"/>
          <w:b/>
          <w:bCs/>
          <w:i w:val="false"/>
          <w:iCs w:val="false"/>
          <w:color w:val="5B6B7B"/>
          <w:sz w:val="16"/>
          <w:szCs w:val="16"/>
        </w:rPr>
        <w:t xml:space="preserve">講師解説参照：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B7B"/>
          <w:sz w:val="16"/>
          <w:szCs w:val="16"/>
        </w:rPr>
        <w:t xml:space="preserve">講師台本・解答解説および対応スライドを参照（解答は別冊「確認テスト解答・解説」および講師台本に収録）。</w:t>
      </w:r>
    </w:p>
    <w:sectPr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color w:val="5B6B7B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37A75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Q%1."/>
      <w:lvlJc w:val="left"/>
      <w:pPr>
        <w:ind w:left="560" w:hanging="5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1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取適法 ケースワークブック</dc:title>
  <dc:creator>Legal GPT</dc:creator>
  <dc:description>取適法 社内研修資料 第17回</dc:description>
  <cp:lastModifiedBy>Un-named</cp:lastModifiedBy>
  <cp:revision>1</cp:revision>
  <dcterms:created xsi:type="dcterms:W3CDTF">2026-06-23T03:41:43.449Z</dcterms:created>
  <dcterms:modified xsi:type="dcterms:W3CDTF">2026-06-23T03:41:43.449Z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