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Meiryo" w:cs="Meiryo" w:eastAsia="Meiryo" w:hAnsi="Meiryo"/>
          <w:b w:val="false"/>
          <w:bCs w:val="false"/>
          <w:i w:val="false"/>
          <w:iCs w:val="false"/>
          <w:color w:val="263238"/>
          <w:sz w:val="60"/>
          <w:szCs w:val="60"/>
        </w:rPr>
        <w:t xml:space="preserve"/>
      </w:r>
    </w:p>
    <w:p>
      <w:pPr>
        <w:keepNext w:val="false"/>
        <w:spacing w:after="60" w:before="0" w:line="276"/>
        <w:jc w:val="left"/>
      </w:pPr>
      <w:r>
        <w:rPr>
          <w:rFonts w:ascii="Meiryo" w:cs="Meiryo" w:eastAsia="Meiryo" w:hAnsi="Meiryo"/>
          <w:b/>
          <w:bCs/>
          <w:i w:val="false"/>
          <w:iCs w:val="false"/>
          <w:color w:val="B58A3A"/>
          <w:sz w:val="18"/>
          <w:szCs w:val="18"/>
        </w:rPr>
        <w:t xml:space="preserve">法務・総務のための社内研修資料20選</w:t>
      </w:r>
    </w:p>
    <w:p>
      <w:pPr>
        <w:keepNext w:val="false"/>
        <w:spacing w:after="240" w:before="0" w:line="276"/>
        <w:jc w:val="left"/>
      </w:pPr>
      <w:r>
        <w:rPr>
          <w:rFonts w:ascii="Meiryo" w:cs="Meiryo" w:eastAsia="Meiryo" w:hAnsi="Meiryo"/>
          <w:b/>
          <w:bCs/>
          <w:i w:val="false"/>
          <w:iCs w:val="false"/>
          <w:color w:val="5B6B7B"/>
          <w:sz w:val="18"/>
          <w:szCs w:val="18"/>
        </w:rPr>
        <w:t xml:space="preserve">第17回　取適法（中小受託取引適正化法）</w:t>
      </w:r>
    </w:p>
    <w:p>
      <w:pPr>
        <w:spacing w:after="80" w:line="340"/>
      </w:pPr>
      <w:r>
        <w:rPr>
          <w:rFonts w:ascii="Meiryo" w:cs="Meiryo" w:eastAsia="Meiryo" w:hAnsi="Meiryo"/>
          <w:b/>
          <w:bCs/>
          <w:i w:val="false"/>
          <w:iCs w:val="false"/>
          <w:color w:val="16314F"/>
          <w:sz w:val="44"/>
          <w:szCs w:val="44"/>
        </w:rPr>
        <w:t xml:space="preserve">取適法ハンドブック</w:t>
      </w:r>
    </w:p>
    <w:p>
      <w:pPr>
        <w:keepNext w:val="false"/>
        <w:spacing w:after="240" w:before="0" w:line="276"/>
        <w:jc w:val="left"/>
      </w:pPr>
      <w:r>
        <w:rPr>
          <w:rFonts w:ascii="Meiryo" w:cs="Meiryo" w:eastAsia="Meiryo" w:hAnsi="Meiryo"/>
          <w:b w:val="false"/>
          <w:bCs w:val="false"/>
          <w:i w:val="false"/>
          <w:iCs w:val="false"/>
          <w:color w:val="243B53"/>
          <w:sz w:val="24"/>
          <w:szCs w:val="24"/>
        </w:rPr>
        <w:t xml:space="preserve">旧下請法からの変更点と、発注担当者が守ること</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5EEDF" w:sz="2"/>
              <w:left w:val="single" w:color="B58A3A" w:sz="18"/>
              <w:bottom w:val="single" w:color="F5EEDF" w:sz="2"/>
              <w:right w:val="single" w:color="F5EEDF" w:sz="2"/>
            </w:tcBorders>
            <w:shd w:fill="F5EEDF"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はじめに</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2026年1月1日、旧下請法（下請代金支払遅延等防止法）を改正した取適法（中小受託取引適正化法）が施行されました。本ハンドブックは、発注・委託する側の社員が、対象取引の確認から発注条件の明示、支払、価格協議、禁止行為、問題発見時の初動までを実務で使える形で理解するための手引きです。</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本書は概説です。取適法該当性・違反該当性の最終判断や行政対応は、自社規程と法務・購買・経理・コンプライアンスの確認を前提とします。</w:t>
            </w:r>
          </w:p>
        </w:tc>
      </w:tr>
    </w:tbl>
    <w:p>
      <w:pPr>
        <w:spacing w:after="0"/>
      </w:pPr>
      <w:r>
        <w:rPr>
          <w:rFonts w:ascii="Meiryo" w:cs="Meiryo" w:eastAsia="Meiryo" w:hAnsi="Meiryo"/>
          <w:b w:val="false"/>
          <w:bCs w:val="false"/>
          <w:i w:val="false"/>
          <w:iCs w:val="false"/>
          <w:color w:val="263238"/>
          <w:sz w:val="30"/>
          <w:szCs w:val="30"/>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c>
          <w:tcPr>
            <w:tcW w:type="dxa" w:w="26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7"/>
                <w:szCs w:val="17"/>
              </w:rPr>
              <w:t xml:space="preserve">法令・制度基準日</w:t>
            </w:r>
          </w:p>
        </w:tc>
        <w:tc>
          <w:tcPr>
            <w:tcW w:type="dxa" w:w="64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2026年6月18日</w:t>
            </w:r>
          </w:p>
        </w:tc>
      </w:tr>
      <w:tr>
        <w:tc>
          <w:tcPr>
            <w:tcW w:type="dxa" w:w="2600"/>
            <w:tcBorders>
              <w:top w:val="single" w:color="C9D3DD" w:sz="4"/>
              <w:left w:val="single" w:color="C9D3DD" w:sz="4"/>
              <w:bottom w:val="single" w:color="C9D3DD" w:sz="4"/>
              <w:right w:val="single" w:color="C9D3DD" w:sz="4"/>
            </w:tcBorders>
            <w:shd w:fill="EAEFF5"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bCs/>
                <w:i w:val="false"/>
                <w:iCs w:val="false"/>
                <w:color w:val="16314F"/>
                <w:sz w:val="17"/>
                <w:szCs w:val="17"/>
              </w:rPr>
              <w:t xml:space="preserve">主な対象</w:t>
            </w:r>
          </w:p>
        </w:tc>
        <w:tc>
          <w:tcPr>
            <w:tcW w:type="dxa" w:w="64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7"/>
                <w:szCs w:val="17"/>
              </w:rPr>
              <w:t xml:space="preserve">全社員・管理職・購買・発注・外注・委託・製造・開発・情報システム・制作・物流・経理</w:t>
            </w:r>
          </w:p>
        </w:tc>
      </w:tr>
    </w:tbl>
    <w:p>
      <w:r>
        <w:br w:type="page"/>
      </w:r>
    </w:p>
    <w:p>
      <w:pPr>
        <w:pStyle w:val="Heading1"/>
        <w:keepNext/>
        <w:spacing w:after="140" w:before="120"/>
      </w:pPr>
      <w:r>
        <w:rPr>
          <w:rFonts w:ascii="Meiryo" w:cs="Meiryo" w:eastAsia="Meiryo" w:hAnsi="Meiryo"/>
          <w:b/>
          <w:bCs/>
          <w:i w:val="false"/>
          <w:iCs w:val="false"/>
          <w:color w:val="16314F"/>
          <w:sz w:val="30"/>
          <w:szCs w:val="30"/>
        </w:rPr>
        <w:t xml:space="preserve">1. 取適法とは</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取適法は、発注する側（委託事業者）と、その発注を受ける側（中小受託事業者）との取引を適正化するための法律です。発注者がその立場を背景に、代金の支払を遅らせたり、不当に減額したり、無理なやり直しを求めたりすることを防ぎ、対等で公正な取引関係を実現することを目的としています。</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旧下請法を改正したもので、正式名称は「製造委託等に係る中小受託事業者に対する代金の支払の遅延等の防止に関する法律」、略称は「中小受託取引適正化法」、通称が「取適法（とりてきほう）」です。</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ポイント</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取適法は、独占禁止法上の「優越的地位の濫用」とも接続する分野です。発注者の責任を具体的なルールにしたものと理解してください。</w:t>
            </w:r>
          </w:p>
        </w:tc>
      </w:tr>
    </w:tbl>
    <w:p>
      <w:pPr>
        <w:pStyle w:val="Heading1"/>
        <w:keepNext/>
        <w:spacing w:after="140" w:before="120"/>
      </w:pPr>
      <w:r>
        <w:rPr>
          <w:rFonts w:ascii="Meiryo" w:cs="Meiryo" w:eastAsia="Meiryo" w:hAnsi="Meiryo"/>
          <w:b/>
          <w:bCs/>
          <w:i w:val="false"/>
          <w:iCs w:val="false"/>
          <w:color w:val="16314F"/>
          <w:sz w:val="30"/>
          <w:szCs w:val="30"/>
        </w:rPr>
        <w:t xml:space="preserve">2. 旧下請法からの主な変更点</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改正法は令和7年（2025年）5月に成立・公布され、令和8年（2026年）1月1日に施行されました。約20年ぶりの大きな改正で、名称変更にとどまらず、対象範囲・義務・禁止行為にも変更があります。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6926"/>
      </w:tblGrid>
      <w:tr>
        <w:trPr>
          <w:tblHeader/>
        </w:trPr>
        <w:tc>
          <w:tcPr>
            <w:tcW w:type="dxa" w:w="2100"/>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8"/>
                <w:szCs w:val="18"/>
              </w:rPr>
              <w:t xml:space="preserve">観点</w:t>
            </w:r>
          </w:p>
        </w:tc>
        <w:tc>
          <w:tcPr>
            <w:tcW w:type="dxa" w:w="6926"/>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8"/>
                <w:szCs w:val="18"/>
              </w:rPr>
              <w:t xml:space="preserve">主な変更</w:t>
            </w:r>
          </w:p>
        </w:tc>
      </w:tr>
      <w:tr>
        <w:tc>
          <w:tcPr>
            <w:tcW w:type="dxa" w:w="21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名称・用語</w:t>
            </w:r>
          </w:p>
        </w:tc>
        <w:tc>
          <w:tcPr>
            <w:tcW w:type="dxa" w:w="69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法律名・略称・通称が変更。『親事業者→委託事業者』『下請事業者→中小受託事業者』『下請代金→製造委託等代金』。『3条書面→4条明示』。</w:t>
            </w:r>
          </w:p>
        </w:tc>
      </w:tr>
      <w:tr>
        <w:tc>
          <w:tcPr>
            <w:tcW w:type="dxa" w:w="21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対象取引</w:t>
            </w:r>
          </w:p>
        </w:tc>
        <w:tc>
          <w:tcPr>
            <w:tcW w:type="dxa" w:w="69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運送（荷主→運送事業者）が『特定運送委託』として対象に追加。</w:t>
            </w:r>
          </w:p>
        </w:tc>
      </w:tr>
      <w:tr>
        <w:tc>
          <w:tcPr>
            <w:tcW w:type="dxa" w:w="21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対象基準</w:t>
            </w:r>
          </w:p>
        </w:tc>
        <w:tc>
          <w:tcPr>
            <w:tcW w:type="dxa" w:w="69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従来の資本金基準に加え、従業員基準が追加。</w:t>
            </w:r>
          </w:p>
        </w:tc>
      </w:tr>
      <w:tr>
        <w:tc>
          <w:tcPr>
            <w:tcW w:type="dxa" w:w="21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義務</w:t>
            </w:r>
          </w:p>
        </w:tc>
        <w:tc>
          <w:tcPr>
            <w:tcW w:type="dxa" w:w="69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取引条件の明示について、電磁的方法（メール・EDI等）の事前承諾要件が撤廃。</w:t>
            </w:r>
          </w:p>
        </w:tc>
      </w:tr>
      <w:tr>
        <w:tc>
          <w:tcPr>
            <w:tcW w:type="dxa" w:w="21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禁止行為</w:t>
            </w:r>
          </w:p>
        </w:tc>
        <w:tc>
          <w:tcPr>
            <w:tcW w:type="dxa" w:w="69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『協議に応じない一方的な代金決定』が新たな禁止行為として新設。遅延利息の対象に不当な減額分も含まれ得る。</w:t>
            </w:r>
          </w:p>
        </w:tc>
      </w:tr>
      <w:tr>
        <w:tc>
          <w:tcPr>
            <w:tcW w:type="dxa" w:w="21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執行</w:t>
            </w:r>
          </w:p>
        </w:tc>
        <w:tc>
          <w:tcPr>
            <w:tcW w:type="dxa" w:w="69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公取委に加え、中小企業庁・事業所管省庁にも指導・助言の権限が広がった。手形払は禁止（紙の約束手形は段階的に廃止）。</w:t>
            </w:r>
          </w:p>
        </w:tc>
      </w:tr>
    </w:tbl>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9"/>
                <w:szCs w:val="19"/>
              </w:rPr>
              <w:t xml:space="preserve">やってはいけない説明</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『名前が変わっただけ』『うちは大企業だから関係ない』という理解は誤りです。発注側の義務・禁止行為の重要性はむしろ高まっています。</w:t>
            </w:r>
          </w:p>
        </w:tc>
      </w:tr>
    </w:tbl>
    <w:p>
      <w:pPr>
        <w:pStyle w:val="Heading1"/>
        <w:keepNext/>
        <w:spacing w:after="140" w:before="120"/>
      </w:pPr>
      <w:r>
        <w:rPr>
          <w:rFonts w:ascii="Meiryo" w:cs="Meiryo" w:eastAsia="Meiryo" w:hAnsi="Meiryo"/>
          <w:b/>
          <w:bCs/>
          <w:i w:val="false"/>
          <w:iCs w:val="false"/>
          <w:color w:val="16314F"/>
          <w:sz w:val="30"/>
          <w:szCs w:val="30"/>
        </w:rPr>
        <w:t xml:space="preserve">3. 基本用語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用語</w:t>
            </w:r>
          </w:p>
        </w:tc>
        <w:tc>
          <w:tcPr>
            <w:tcW w:type="dxa" w:w="6426"/>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意味（概要）</w:t>
            </w:r>
          </w:p>
        </w:tc>
      </w:tr>
      <w:tr>
        <w:tc>
          <w:tcPr>
            <w:tcW w:type="dxa" w:w="26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委託事業者</w:t>
            </w:r>
          </w:p>
        </w:tc>
        <w:tc>
          <w:tcPr>
            <w:tcW w:type="dxa" w:w="64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製造委託等を行う、発注する側の事業者。自社がこれに該当し得る。</w:t>
            </w:r>
          </w:p>
        </w:tc>
      </w:tr>
      <w:tr>
        <w:tc>
          <w:tcPr>
            <w:tcW w:type="dxa" w:w="26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中小受託事業者</w:t>
            </w:r>
          </w:p>
        </w:tc>
        <w:tc>
          <w:tcPr>
            <w:tcW w:type="dxa" w:w="64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委託事業者から委託を受ける、中小の受注者。</w:t>
            </w:r>
          </w:p>
        </w:tc>
      </w:tr>
      <w:tr>
        <w:tc>
          <w:tcPr>
            <w:tcW w:type="dxa" w:w="26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製造委託等代金</w:t>
            </w:r>
          </w:p>
        </w:tc>
        <w:tc>
          <w:tcPr>
            <w:tcW w:type="dxa" w:w="64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委託した給付（物品・成果物・役務）に対して支払う代金。</w:t>
            </w:r>
          </w:p>
        </w:tc>
      </w:tr>
      <w:tr>
        <w:tc>
          <w:tcPr>
            <w:tcW w:type="dxa" w:w="26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4条明示</w:t>
            </w:r>
          </w:p>
        </w:tc>
        <w:tc>
          <w:tcPr>
            <w:tcW w:type="dxa" w:w="64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発注時に取引条件を明示する義務（旧『3条書面』に相当）。</w:t>
            </w:r>
          </w:p>
        </w:tc>
      </w:tr>
    </w:tbl>
    <w:p>
      <w:pPr>
        <w:keepNext w:val="false"/>
        <w:spacing w:after="0" w:before="0" w:line="276"/>
        <w:jc w:val="left"/>
      </w:pPr>
      <w:r>
        <w:rPr>
          <w:rFonts w:ascii="Meiryo" w:cs="Meiryo" w:eastAsia="Meiryo" w:hAnsi="Meiryo"/>
          <w:b w:val="false"/>
          <w:bCs w:val="false"/>
          <w:i/>
          <w:iCs/>
          <w:color w:val="5B6B7B"/>
          <w:sz w:val="18"/>
          <w:szCs w:val="18"/>
        </w:rPr>
        <w:t xml:space="preserve">「下請」という呼び方を避け、対等な取引関係を前提にする趣旨があります。自社は多くの場面で「発注する側＝委託事業者」になり得る、という意識が出発点です。</w:t>
      </w:r>
    </w:p>
    <w:p>
      <w:pPr>
        <w:spacing w:after="0"/>
      </w:pPr>
      <w:r>
        <w:rPr>
          <w:rFonts w:ascii="Meiryo" w:cs="Meiryo" w:eastAsia="Meiryo" w:hAnsi="Meiryo"/>
          <w:b w:val="false"/>
          <w:bCs w:val="false"/>
          <w:i w:val="false"/>
          <w:iCs w:val="false"/>
          <w:color w:val="263238"/>
          <w:sz w:val="40"/>
          <w:szCs w:val="40"/>
        </w:rPr>
        <w:t xml:space="preserve"/>
      </w:r>
    </w:p>
    <w:p>
      <w:pPr>
        <w:pStyle w:val="Heading1"/>
        <w:keepNext/>
        <w:spacing w:after="140" w:before="120"/>
      </w:pPr>
      <w:r>
        <w:rPr>
          <w:rFonts w:ascii="Meiryo" w:cs="Meiryo" w:eastAsia="Meiryo" w:hAnsi="Meiryo"/>
          <w:b/>
          <w:bCs/>
          <w:i w:val="false"/>
          <w:iCs w:val="false"/>
          <w:color w:val="16314F"/>
          <w:sz w:val="30"/>
          <w:szCs w:val="30"/>
        </w:rPr>
        <w:t xml:space="preserve">4. 対象取引（5つの委託類型）</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取適法の対象になり得るのは、次の5類型の委託です。</w:t>
      </w:r>
    </w:p>
    <w:p>
      <w:pPr>
        <w:pStyle w:val="ListParagraph"/>
        <w:numPr>
          <w:ilvl w:val="0"/>
          <w:numId w:val="2"/>
        </w:numPr>
        <w:spacing w:after="70" w:line="272"/>
      </w:pPr>
      <w:r>
        <w:rPr>
          <w:rFonts w:ascii="Meiryo" w:cs="Meiryo" w:eastAsia="Meiryo" w:hAnsi="Meiryo"/>
          <w:b/>
          <w:bCs/>
          <w:i w:val="false"/>
          <w:iCs w:val="false"/>
          <w:color w:val="263238"/>
          <w:sz w:val="21"/>
          <w:szCs w:val="21"/>
        </w:rPr>
        <w:t xml:space="preserve">製造委託</w:t>
      </w:r>
      <w:r>
        <w:rPr>
          <w:rFonts w:ascii="Meiryo" w:cs="Meiryo" w:eastAsia="Meiryo" w:hAnsi="Meiryo"/>
          <w:b w:val="false"/>
          <w:bCs w:val="false"/>
          <w:i w:val="false"/>
          <w:iCs w:val="false"/>
          <w:color w:val="263238"/>
          <w:sz w:val="21"/>
          <w:szCs w:val="21"/>
        </w:rPr>
        <w:t xml:space="preserve">：規格・品質・形状等を指定して、物品の製造・加工を委託する。</w:t>
      </w:r>
    </w:p>
    <w:p>
      <w:pPr>
        <w:pStyle w:val="ListParagraph"/>
        <w:numPr>
          <w:ilvl w:val="0"/>
          <w:numId w:val="2"/>
        </w:numPr>
        <w:spacing w:after="70" w:line="272"/>
      </w:pPr>
      <w:r>
        <w:rPr>
          <w:rFonts w:ascii="Meiryo" w:cs="Meiryo" w:eastAsia="Meiryo" w:hAnsi="Meiryo"/>
          <w:b/>
          <w:bCs/>
          <w:i w:val="false"/>
          <w:iCs w:val="false"/>
          <w:color w:val="263238"/>
          <w:sz w:val="21"/>
          <w:szCs w:val="21"/>
        </w:rPr>
        <w:t xml:space="preserve">修理委託</w:t>
      </w:r>
      <w:r>
        <w:rPr>
          <w:rFonts w:ascii="Meiryo" w:cs="Meiryo" w:eastAsia="Meiryo" w:hAnsi="Meiryo"/>
          <w:b w:val="false"/>
          <w:bCs w:val="false"/>
          <w:i w:val="false"/>
          <w:iCs w:val="false"/>
          <w:color w:val="263238"/>
          <w:sz w:val="21"/>
          <w:szCs w:val="21"/>
        </w:rPr>
        <w:t xml:space="preserve">：請け負った物品の修理、または自社で使う物品の社内修理を委託する。</w:t>
      </w:r>
    </w:p>
    <w:p>
      <w:pPr>
        <w:pStyle w:val="ListParagraph"/>
        <w:numPr>
          <w:ilvl w:val="0"/>
          <w:numId w:val="2"/>
        </w:numPr>
        <w:spacing w:after="70" w:line="272"/>
      </w:pPr>
      <w:r>
        <w:rPr>
          <w:rFonts w:ascii="Meiryo" w:cs="Meiryo" w:eastAsia="Meiryo" w:hAnsi="Meiryo"/>
          <w:b/>
          <w:bCs/>
          <w:i w:val="false"/>
          <w:iCs w:val="false"/>
          <w:color w:val="263238"/>
          <w:sz w:val="21"/>
          <w:szCs w:val="21"/>
        </w:rPr>
        <w:t xml:space="preserve">情報成果物作成委託</w:t>
      </w:r>
      <w:r>
        <w:rPr>
          <w:rFonts w:ascii="Meiryo" w:cs="Meiryo" w:eastAsia="Meiryo" w:hAnsi="Meiryo"/>
          <w:b w:val="false"/>
          <w:bCs w:val="false"/>
          <w:i w:val="false"/>
          <w:iCs w:val="false"/>
          <w:color w:val="263238"/>
          <w:sz w:val="21"/>
          <w:szCs w:val="21"/>
        </w:rPr>
        <w:t xml:space="preserve">：プログラム、映像・音声、デザイン、文章等の作成を委託する。</w:t>
      </w:r>
    </w:p>
    <w:p>
      <w:pPr>
        <w:pStyle w:val="ListParagraph"/>
        <w:numPr>
          <w:ilvl w:val="0"/>
          <w:numId w:val="2"/>
        </w:numPr>
        <w:spacing w:after="70" w:line="272"/>
      </w:pPr>
      <w:r>
        <w:rPr>
          <w:rFonts w:ascii="Meiryo" w:cs="Meiryo" w:eastAsia="Meiryo" w:hAnsi="Meiryo"/>
          <w:b/>
          <w:bCs/>
          <w:i w:val="false"/>
          <w:iCs w:val="false"/>
          <w:color w:val="263238"/>
          <w:sz w:val="21"/>
          <w:szCs w:val="21"/>
        </w:rPr>
        <w:t xml:space="preserve">役務提供委託</w:t>
      </w:r>
      <w:r>
        <w:rPr>
          <w:rFonts w:ascii="Meiryo" w:cs="Meiryo" w:eastAsia="Meiryo" w:hAnsi="Meiryo"/>
          <w:b w:val="false"/>
          <w:bCs w:val="false"/>
          <w:i w:val="false"/>
          <w:iCs w:val="false"/>
          <w:color w:val="263238"/>
          <w:sz w:val="21"/>
          <w:szCs w:val="21"/>
        </w:rPr>
        <w:t xml:space="preserve">：請け負った役務の全部・一部を他者に委託する。</w:t>
      </w:r>
    </w:p>
    <w:p>
      <w:pPr>
        <w:pStyle w:val="ListParagraph"/>
        <w:numPr>
          <w:ilvl w:val="0"/>
          <w:numId w:val="2"/>
        </w:numPr>
        <w:spacing w:after="70" w:line="272"/>
      </w:pPr>
      <w:r>
        <w:rPr>
          <w:rFonts w:ascii="Meiryo" w:cs="Meiryo" w:eastAsia="Meiryo" w:hAnsi="Meiryo"/>
          <w:b/>
          <w:bCs/>
          <w:i w:val="false"/>
          <w:iCs w:val="false"/>
          <w:color w:val="263238"/>
          <w:sz w:val="21"/>
          <w:szCs w:val="21"/>
        </w:rPr>
        <w:t xml:space="preserve">特定運送委託</w:t>
      </w:r>
      <w:r>
        <w:rPr>
          <w:rFonts w:ascii="Meiryo" w:cs="Meiryo" w:eastAsia="Meiryo" w:hAnsi="Meiryo"/>
          <w:b w:val="false"/>
          <w:bCs w:val="false"/>
          <w:i w:val="false"/>
          <w:iCs w:val="false"/>
          <w:color w:val="263238"/>
          <w:sz w:val="21"/>
          <w:szCs w:val="21"/>
        </w:rPr>
        <w:t xml:space="preserve">：荷主から運送事業者への運送の委託（2026年に対象へ追加）。</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注意</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プログラム・デザイン・映像も対象になり得るため、IT・制作・マーケティング部門も無関係ではありません。建設工事など類型ごとの細かな除外・該当は、法務・購買で確認してください。</w:t>
            </w:r>
          </w:p>
        </w:tc>
      </w:tr>
    </w:tbl>
    <w:p>
      <w:pPr>
        <w:pStyle w:val="Heading1"/>
        <w:keepNext/>
        <w:spacing w:after="140" w:before="120"/>
      </w:pPr>
      <w:r>
        <w:rPr>
          <w:rFonts w:ascii="Meiryo" w:cs="Meiryo" w:eastAsia="Meiryo" w:hAnsi="Meiryo"/>
          <w:b/>
          <w:bCs/>
          <w:i w:val="false"/>
          <w:iCs w:val="false"/>
          <w:color w:val="16314F"/>
          <w:sz w:val="30"/>
          <w:szCs w:val="30"/>
        </w:rPr>
        <w:t xml:space="preserve">5. 資本金基準・従業員基準</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対象かどうかは「取引類型」だけでは決まりません。委託事業者・中小受託事業者の規模を、資本金基準または従業員基準で確認します。改正で従業員基準が加わり、いずれか一方を満たせば対象になり得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基準</w:t>
            </w:r>
          </w:p>
        </w:tc>
        <w:tc>
          <w:tcPr>
            <w:tcW w:type="dxa" w:w="6426"/>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9"/>
                <w:szCs w:val="19"/>
              </w:rPr>
              <w:t xml:space="preserve">考え方（目安）</w:t>
            </w:r>
          </w:p>
        </w:tc>
      </w:tr>
      <w:tr>
        <w:tc>
          <w:tcPr>
            <w:tcW w:type="dxa" w:w="26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資本金基準</w:t>
            </w:r>
          </w:p>
        </w:tc>
        <w:tc>
          <w:tcPr>
            <w:tcW w:type="dxa" w:w="64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従来からの基準。取引類型に応じて資本金額で判定。</w:t>
            </w:r>
          </w:p>
        </w:tc>
      </w:tr>
      <w:tr>
        <w:tc>
          <w:tcPr>
            <w:tcW w:type="dxa" w:w="26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従業員基準（新）</w:t>
            </w:r>
          </w:p>
        </w:tc>
        <w:tc>
          <w:tcPr>
            <w:tcW w:type="dxa" w:w="64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製造委託等は従業員300人、役務提供委託等は100人が一つの目安。</w:t>
            </w:r>
          </w:p>
        </w:tc>
      </w:tr>
    </w:tbl>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9"/>
                <w:szCs w:val="19"/>
              </w:rPr>
              <w:t xml:space="preserve">やってはいけない説明</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資本金だけを見て『対象外』と判断しないでください。相手や自社の規模が不明・微妙なときは、発注前に法務・購買へ確認します。相手が個人（フリーランス）の場合は、フリーランス法の適用も併せて検討します（両法該当時は原則フリーランス法が優先）。</w:t>
            </w:r>
          </w:p>
        </w:tc>
      </w:tr>
    </w:tbl>
    <w:p>
      <w:pPr>
        <w:spacing w:after="0"/>
      </w:pPr>
      <w:r>
        <w:rPr>
          <w:rFonts w:ascii="Meiryo" w:cs="Meiryo" w:eastAsia="Meiryo" w:hAnsi="Meiryo"/>
          <w:b w:val="false"/>
          <w:bCs w:val="false"/>
          <w:i w:val="false"/>
          <w:iCs w:val="false"/>
          <w:color w:val="263238"/>
          <w:sz w:val="40"/>
          <w:szCs w:val="40"/>
        </w:rPr>
        <w:t xml:space="preserve"/>
      </w:r>
    </w:p>
    <w:p>
      <w:pPr>
        <w:pStyle w:val="Heading1"/>
        <w:keepNext/>
        <w:spacing w:after="140" w:before="120"/>
      </w:pPr>
      <w:r>
        <w:rPr>
          <w:rFonts w:ascii="Meiryo" w:cs="Meiryo" w:eastAsia="Meiryo" w:hAnsi="Meiryo"/>
          <w:b/>
          <w:bCs/>
          <w:i w:val="false"/>
          <w:iCs w:val="false"/>
          <w:color w:val="16314F"/>
          <w:sz w:val="30"/>
          <w:szCs w:val="30"/>
        </w:rPr>
        <w:t xml:space="preserve">6. 委託事業者の4つの義務</w:t>
      </w:r>
    </w:p>
    <w:p>
      <w:pPr>
        <w:pStyle w:val="Heading2"/>
        <w:keepNext/>
        <w:spacing w:after="120" w:before="240"/>
      </w:pPr>
      <w:r>
        <w:rPr>
          <w:rFonts w:ascii="Meiryo" w:cs="Meiryo" w:eastAsia="Meiryo" w:hAnsi="Meiryo"/>
          <w:b/>
          <w:bCs/>
          <w:i w:val="false"/>
          <w:iCs w:val="false"/>
          <w:color w:val="16314F"/>
          <w:sz w:val="25"/>
          <w:szCs w:val="25"/>
        </w:rPr>
        <w:t xml:space="preserve">6-1. 発注時の取引条件明示（4条明示）</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発注時に、給付内容・仕様・数量・納期・納入場所・代金・支払期日・支払方法・検収方法などを明示します。重要なのは、口頭で発注しても委託は成立し、その瞬間から「直ちに明示する義務」が生じる点です。改正で電磁的方法（メール・EDI等）の事前承諾は不要になりました。明示・記録の義務に違反すると、50万円以下の罰金が科され得ます。</w:t>
      </w:r>
    </w:p>
    <w:p>
      <w:pPr>
        <w:pStyle w:val="Heading2"/>
        <w:keepNext/>
        <w:spacing w:after="120" w:before="240"/>
      </w:pPr>
      <w:r>
        <w:rPr>
          <w:rFonts w:ascii="Meiryo" w:cs="Meiryo" w:eastAsia="Meiryo" w:hAnsi="Meiryo"/>
          <w:b/>
          <w:bCs/>
          <w:i w:val="false"/>
          <w:iCs w:val="false"/>
          <w:color w:val="16314F"/>
          <w:sz w:val="25"/>
          <w:szCs w:val="25"/>
        </w:rPr>
        <w:t xml:space="preserve">6-2. 支払期日の設定・60日以内支払</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支払期日は、物品等の受領日・役務提供日から起算して60日以内の、できる限り短い期間内に定めます。起算点は「受領日」であって「検収日」ではありません。検収や社内処理の遅れは、支払を遅らせる理由になりません。</w:t>
      </w:r>
    </w:p>
    <w:p>
      <w:pPr>
        <w:pStyle w:val="Heading2"/>
        <w:keepNext/>
        <w:spacing w:after="120" w:before="240"/>
      </w:pPr>
      <w:r>
        <w:rPr>
          <w:rFonts w:ascii="Meiryo" w:cs="Meiryo" w:eastAsia="Meiryo" w:hAnsi="Meiryo"/>
          <w:b/>
          <w:bCs/>
          <w:i w:val="false"/>
          <w:iCs w:val="false"/>
          <w:color w:val="16314F"/>
          <w:sz w:val="25"/>
          <w:szCs w:val="25"/>
        </w:rPr>
        <w:t xml:space="preserve">6-3. 書類（記録）の作成・保存</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取引の内容や経緯を記録として作成し、一定期間（目安として2年）保存します。記録は義務であると同時に、トラブルが起きたときに自社の対応を説明する材料になります。</w:t>
      </w:r>
    </w:p>
    <w:p>
      <w:pPr>
        <w:pStyle w:val="Heading2"/>
        <w:keepNext/>
        <w:spacing w:after="120" w:before="240"/>
      </w:pPr>
      <w:r>
        <w:rPr>
          <w:rFonts w:ascii="Meiryo" w:cs="Meiryo" w:eastAsia="Meiryo" w:hAnsi="Meiryo"/>
          <w:b/>
          <w:bCs/>
          <w:i w:val="false"/>
          <w:iCs w:val="false"/>
          <w:color w:val="16314F"/>
          <w:sz w:val="25"/>
          <w:szCs w:val="25"/>
        </w:rPr>
        <w:t xml:space="preserve">6-4. 遅延利息</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支払が遅れた場合には、年14.6％の遅延利息の問題が生じます。改正により、不当な減額分にも及び得ます。</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5EEDF" w:sz="2"/>
              <w:left w:val="single" w:color="B58A3A" w:sz="18"/>
              <w:bottom w:val="single" w:color="F5EEDF" w:sz="2"/>
              <w:right w:val="single" w:color="F5EEDF" w:sz="2"/>
            </w:tcBorders>
            <w:shd w:fill="F5EEDF"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手形払の禁止・支払方法の注意</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取適法では手形払が禁止されます（紙の約束手形は段階的に廃止）。</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電子記録債権や一括決済方式でも、支払期日までに代金相当額の金銭と引き換えることが困難なものは、支払遅延に当たり得ます。</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振込手数料を一方的に相手負担として代金から差し引くと、減額の問題になります。自社の決済方法が適合するかは経理・法務で確認してください。</w:t>
            </w:r>
          </w:p>
        </w:tc>
      </w:tr>
    </w:tbl>
    <w:p>
      <w:pPr>
        <w:spacing w:after="0"/>
      </w:pPr>
      <w:r>
        <w:rPr>
          <w:rFonts w:ascii="Meiryo" w:cs="Meiryo" w:eastAsia="Meiryo" w:hAnsi="Meiryo"/>
          <w:b w:val="false"/>
          <w:bCs w:val="false"/>
          <w:i w:val="false"/>
          <w:iCs w:val="false"/>
          <w:color w:val="263238"/>
          <w:sz w:val="40"/>
          <w:szCs w:val="40"/>
        </w:rPr>
        <w:t xml:space="preserve"/>
      </w:r>
    </w:p>
    <w:p>
      <w:pPr>
        <w:pStyle w:val="Heading1"/>
        <w:keepNext/>
        <w:spacing w:after="140" w:before="120"/>
      </w:pPr>
      <w:r>
        <w:rPr>
          <w:rFonts w:ascii="Meiryo" w:cs="Meiryo" w:eastAsia="Meiryo" w:hAnsi="Meiryo"/>
          <w:b/>
          <w:bCs/>
          <w:i w:val="false"/>
          <w:iCs w:val="false"/>
          <w:color w:val="16314F"/>
          <w:sz w:val="30"/>
          <w:szCs w:val="30"/>
        </w:rPr>
        <w:t xml:space="preserve">7. 禁止行為（5条の11類型）</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取適法5条は、委託事業者の禁止行為を定めています。いずれも「相手（中小受託事業者）に責任がないのに」発注者の立場で行うことが問題になります。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8"/>
                <w:szCs w:val="18"/>
              </w:rPr>
              <w:t xml:space="preserve">禁止行為</w:t>
            </w:r>
          </w:p>
        </w:tc>
        <w:tc>
          <w:tcPr>
            <w:tcW w:type="dxa" w:w="5826"/>
            <w:tcBorders>
              <w:top w:val="single" w:color="C9D3DD" w:sz="4"/>
              <w:left w:val="single" w:color="C9D3DD" w:sz="4"/>
              <w:bottom w:val="single" w:color="C9D3DD" w:sz="4"/>
              <w:right w:val="single" w:color="C9D3DD" w:sz="4"/>
            </w:tcBorders>
            <w:shd w:fill="16314F" w:val="clear"/>
            <w:tcMar>
              <w:top w:type="dxa" w:w="60"/>
              <w:left w:type="dxa" w:w="100"/>
              <w:bottom w:type="dxa" w:w="60"/>
              <w:right w:type="dxa" w:w="100"/>
            </w:tcMar>
            <w:vAlign w:val="center"/>
          </w:tcPr>
          <w:p>
            <w:pPr>
              <w:keepNext w:val="false"/>
              <w:spacing w:after="0" w:before="0" w:line="276"/>
              <w:jc w:val="left"/>
            </w:pPr>
            <w:r>
              <w:rPr>
                <w:rFonts w:ascii="Meiryo" w:cs="Meiryo" w:eastAsia="Meiryo" w:hAnsi="Meiryo"/>
                <w:b/>
                <w:bCs/>
                <w:i w:val="false"/>
                <w:iCs w:val="false"/>
                <w:color w:val="FFFFFF"/>
                <w:sz w:val="18"/>
                <w:szCs w:val="18"/>
              </w:rPr>
              <w:t xml:space="preserve">内容（概要）</w:t>
            </w:r>
          </w:p>
        </w:tc>
      </w:tr>
      <w:tr>
        <w:tc>
          <w:tcPr>
            <w:tcW w:type="dxa" w:w="32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① 受領拒否</w:t>
            </w:r>
          </w:p>
        </w:tc>
        <w:tc>
          <w:tcPr>
            <w:tcW w:type="dxa" w:w="58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注文した給付を、相手に責任がないのに受け取らない。</w:t>
            </w:r>
          </w:p>
        </w:tc>
      </w:tr>
      <w:tr>
        <w:tc>
          <w:tcPr>
            <w:tcW w:type="dxa" w:w="32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② 支払遅延</w:t>
            </w:r>
          </w:p>
        </w:tc>
        <w:tc>
          <w:tcPr>
            <w:tcW w:type="dxa" w:w="58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支払期日までに代金の満額を支払わない。</w:t>
            </w:r>
          </w:p>
        </w:tc>
      </w:tr>
      <w:tr>
        <w:tc>
          <w:tcPr>
            <w:tcW w:type="dxa" w:w="32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③ 減額</w:t>
            </w:r>
          </w:p>
        </w:tc>
        <w:tc>
          <w:tcPr>
            <w:tcW w:type="dxa" w:w="58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相手に責任がないのに、定めた代金を減じる。</w:t>
            </w:r>
          </w:p>
        </w:tc>
      </w:tr>
      <w:tr>
        <w:tc>
          <w:tcPr>
            <w:tcW w:type="dxa" w:w="32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④ 返品</w:t>
            </w:r>
          </w:p>
        </w:tc>
        <w:tc>
          <w:tcPr>
            <w:tcW w:type="dxa" w:w="58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受領した給付を、相手に責任がないのに返品する。</w:t>
            </w:r>
          </w:p>
        </w:tc>
      </w:tr>
      <w:tr>
        <w:tc>
          <w:tcPr>
            <w:tcW w:type="dxa" w:w="32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⑤ 買いたたき</w:t>
            </w:r>
          </w:p>
        </w:tc>
        <w:tc>
          <w:tcPr>
            <w:tcW w:type="dxa" w:w="58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十分な協議をせず、通常の対価より著しく低い代金を不当に定める。</w:t>
            </w:r>
          </w:p>
        </w:tc>
      </w:tr>
      <w:tr>
        <w:tc>
          <w:tcPr>
            <w:tcW w:type="dxa" w:w="32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⑥ 購入・利用の強制</w:t>
            </w:r>
          </w:p>
        </w:tc>
        <w:tc>
          <w:tcPr>
            <w:tcW w:type="dxa" w:w="58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正当な理由なく、自社・指定先の商品・役務を強制的に購入・利用させる。</w:t>
            </w:r>
          </w:p>
        </w:tc>
      </w:tr>
      <w:tr>
        <w:tc>
          <w:tcPr>
            <w:tcW w:type="dxa" w:w="32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⑦ 報復措置</w:t>
            </w:r>
          </w:p>
        </w:tc>
        <w:tc>
          <w:tcPr>
            <w:tcW w:type="dxa" w:w="58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公取委・中小企業庁・事業所管省庁への申告等を理由に不利益な取扱いをする。</w:t>
            </w:r>
          </w:p>
        </w:tc>
      </w:tr>
      <w:tr>
        <w:tc>
          <w:tcPr>
            <w:tcW w:type="dxa" w:w="32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⑧ 有償支給原材料等の対価の早期決済</w:t>
            </w:r>
          </w:p>
        </w:tc>
        <w:tc>
          <w:tcPr>
            <w:tcW w:type="dxa" w:w="58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有償支給した材料等の対価を、給付の代金支払より早く決済させる。</w:t>
            </w:r>
          </w:p>
        </w:tc>
      </w:tr>
      <w:tr>
        <w:tc>
          <w:tcPr>
            <w:tcW w:type="dxa" w:w="32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⑨ 不当な経済上の利益の提供要請</w:t>
            </w:r>
          </w:p>
        </w:tc>
        <w:tc>
          <w:tcPr>
            <w:tcW w:type="dxa" w:w="58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協賛金・購入・無償役務等を、立場を背景に不当に求める。</w:t>
            </w:r>
          </w:p>
        </w:tc>
      </w:tr>
      <w:tr>
        <w:tc>
          <w:tcPr>
            <w:tcW w:type="dxa" w:w="3200"/>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⑩ 不当な給付内容の変更・やり直し</w:t>
            </w:r>
          </w:p>
        </w:tc>
        <w:tc>
          <w:tcPr>
            <w:tcW w:type="dxa" w:w="5826"/>
            <w:tcBorders>
              <w:top w:val="single" w:color="C9D3DD" w:sz="4"/>
              <w:left w:val="single" w:color="C9D3DD" w:sz="4"/>
              <w:bottom w:val="single" w:color="C9D3DD" w:sz="4"/>
              <w:right w:val="single" w:color="C9D3DD" w:sz="4"/>
            </w:tcBorders>
            <w:shd w:fill="EEF2F6" w:val="clear"/>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相手に責任がないのに、費用を負担せず変更・やり直しをさせる。</w:t>
            </w:r>
          </w:p>
        </w:tc>
      </w:tr>
      <w:tr>
        <w:tc>
          <w:tcPr>
            <w:tcW w:type="dxa" w:w="3200"/>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⑪ 協議に応じない一方的な代金決定（新設）</w:t>
            </w:r>
          </w:p>
        </w:tc>
        <w:tc>
          <w:tcPr>
            <w:tcW w:type="dxa" w:w="5826"/>
            <w:tcBorders>
              <w:top w:val="single" w:color="C9D3DD" w:sz="4"/>
              <w:left w:val="single" w:color="C9D3DD" w:sz="4"/>
              <w:bottom w:val="single" w:color="C9D3DD" w:sz="4"/>
              <w:right w:val="single" w:color="C9D3DD" w:sz="4"/>
            </w:tcBorders>
            <w:tcMar>
              <w:top w:type="dxa" w:w="60"/>
              <w:left w:type="dxa" w:w="100"/>
              <w:bottom w:type="dxa" w:w="60"/>
              <w:right w:type="dxa" w:w="100"/>
            </w:tcMar>
            <w:vAlign w:val="top"/>
          </w:tcPr>
          <w:p>
            <w:pPr>
              <w:keepNext w:val="false"/>
              <w:spacing w:after="0" w:before="0" w:line="276"/>
              <w:jc w:val="left"/>
            </w:pPr>
            <w:r>
              <w:rPr>
                <w:rFonts w:ascii="Meiryo" w:cs="Meiryo" w:eastAsia="Meiryo" w:hAnsi="Meiryo"/>
                <w:b w:val="false"/>
                <w:bCs w:val="false"/>
                <w:i w:val="false"/>
                <w:iCs w:val="false"/>
                <w:color w:val="263238"/>
                <w:sz w:val="18"/>
                <w:szCs w:val="18"/>
              </w:rPr>
              <w:t xml:space="preserve">価格協議に応じず、または十分協議せず一方的に代金を決める。</w:t>
            </w:r>
          </w:p>
        </w:tc>
      </w:tr>
    </w:tbl>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9"/>
                <w:szCs w:val="19"/>
              </w:rPr>
              <w:t xml:space="preserve">特に注意したい誤解</w:t>
            </w:r>
          </w:p>
          <w:p>
            <w:pPr>
              <w:keepNext w:val="false"/>
              <w:spacing w:after="60" w:before="0" w:line="276"/>
              <w:jc w:val="left"/>
            </w:pPr>
            <w:r>
              <w:rPr>
                <w:rFonts w:ascii="Meiryo" w:cs="Meiryo" w:eastAsia="Meiryo" w:hAnsi="Meiryo"/>
                <w:b w:val="false"/>
                <w:bCs w:val="false"/>
                <w:i w:val="false"/>
                <w:iCs w:val="false"/>
                <w:color w:val="263238"/>
                <w:sz w:val="18"/>
                <w:szCs w:val="18"/>
              </w:rPr>
              <w:t xml:space="preserve">『相手が同意したから減額・やり直しはOK』とは限りません。</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『品質向上のためなら無償でよい』『予算がない・稟議未了・顧客の値引きを理由に減額してよい』はいずれも誤りです。</w:t>
            </w:r>
          </w:p>
        </w:tc>
      </w:tr>
    </w:tbl>
    <w:p>
      <w:pPr>
        <w:spacing w:after="0"/>
      </w:pPr>
      <w:r>
        <w:rPr>
          <w:rFonts w:ascii="Meiryo" w:cs="Meiryo" w:eastAsia="Meiryo" w:hAnsi="Meiryo"/>
          <w:b w:val="false"/>
          <w:bCs w:val="false"/>
          <w:i w:val="false"/>
          <w:iCs w:val="false"/>
          <w:color w:val="263238"/>
          <w:sz w:val="40"/>
          <w:szCs w:val="40"/>
        </w:rPr>
        <w:t xml:space="preserve"/>
      </w:r>
    </w:p>
    <w:p>
      <w:pPr>
        <w:pStyle w:val="Heading1"/>
        <w:keepNext/>
        <w:spacing w:after="140" w:before="120"/>
      </w:pPr>
      <w:r>
        <w:rPr>
          <w:rFonts w:ascii="Meiryo" w:cs="Meiryo" w:eastAsia="Meiryo" w:hAnsi="Meiryo"/>
          <w:b/>
          <w:bCs/>
          <w:i w:val="false"/>
          <w:iCs w:val="false"/>
          <w:color w:val="16314F"/>
          <w:sz w:val="30"/>
          <w:szCs w:val="30"/>
        </w:rPr>
        <w:t xml:space="preserve">8. 価格協議・価格転嫁</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原材料費・労務費（人件費）・エネルギー費・物流費・為替・最低賃金などの上昇局面では、価格協議が特に重要です。中小受託事業者から協議の申入れがあったら、無視せず協議の場を持ち、コスト上昇の資料を確認し、回答と経緯を記録します。</w:t>
      </w:r>
    </w:p>
    <w:p>
      <w:pPr>
        <w:pStyle w:val="ListParagraph"/>
        <w:numPr>
          <w:ilvl w:val="0"/>
          <w:numId w:val="3"/>
        </w:numPr>
        <w:spacing w:after="70" w:line="272"/>
      </w:pPr>
      <w:r>
        <w:rPr>
          <w:rFonts w:ascii="Meiryo" w:cs="Meiryo" w:eastAsia="Meiryo" w:hAnsi="Meiryo"/>
          <w:b w:val="false"/>
          <w:bCs w:val="false"/>
          <w:i w:val="false"/>
          <w:iCs w:val="false"/>
          <w:color w:val="263238"/>
          <w:sz w:val="21"/>
          <w:szCs w:val="21"/>
        </w:rPr>
        <w:t xml:space="preserve">「値上げの話は受け付けない」「前年単価でないと発注しない」と一方的に決めない。</w:t>
      </w:r>
    </w:p>
    <w:p>
      <w:pPr>
        <w:pStyle w:val="ListParagraph"/>
        <w:numPr>
          <w:ilvl w:val="0"/>
          <w:numId w:val="3"/>
        </w:numPr>
        <w:spacing w:after="70" w:line="272"/>
      </w:pPr>
      <w:r>
        <w:rPr>
          <w:rFonts w:ascii="Meiryo" w:cs="Meiryo" w:eastAsia="Meiryo" w:hAnsi="Meiryo"/>
          <w:b w:val="false"/>
          <w:bCs w:val="false"/>
          <w:i w:val="false"/>
          <w:iCs w:val="false"/>
          <w:color w:val="263238"/>
          <w:sz w:val="21"/>
          <w:szCs w:val="21"/>
        </w:rPr>
        <w:t xml:space="preserve">十分な協議をせず通常の対価より著しく低い代金を定めると、買いたたきになり得る。</w:t>
      </w:r>
    </w:p>
    <w:p>
      <w:pPr>
        <w:pStyle w:val="ListParagraph"/>
        <w:numPr>
          <w:ilvl w:val="0"/>
          <w:numId w:val="3"/>
        </w:numPr>
        <w:spacing w:after="70" w:line="272"/>
      </w:pPr>
      <w:r>
        <w:rPr>
          <w:rFonts w:ascii="Meiryo" w:cs="Meiryo" w:eastAsia="Meiryo" w:hAnsi="Meiryo"/>
          <w:b w:val="false"/>
          <w:bCs w:val="false"/>
          <w:i w:val="false"/>
          <w:iCs w:val="false"/>
          <w:color w:val="263238"/>
          <w:sz w:val="21"/>
          <w:szCs w:val="21"/>
        </w:rPr>
        <w:t xml:space="preserve">協議の結果、稟議・契約変更・発注条件変更が必要なこともある。</w:t>
      </w:r>
    </w:p>
    <w:p>
      <w:pPr>
        <w:pStyle w:val="ListParagraph"/>
        <w:numPr>
          <w:ilvl w:val="0"/>
          <w:numId w:val="3"/>
        </w:numPr>
        <w:spacing w:after="70" w:line="272"/>
      </w:pPr>
      <w:r>
        <w:rPr>
          <w:rFonts w:ascii="Meiryo" w:cs="Meiryo" w:eastAsia="Meiryo" w:hAnsi="Meiryo"/>
          <w:b w:val="false"/>
          <w:bCs w:val="false"/>
          <w:i w:val="false"/>
          <w:iCs w:val="false"/>
          <w:color w:val="263238"/>
          <w:sz w:val="21"/>
          <w:szCs w:val="21"/>
        </w:rPr>
        <w:t xml:space="preserve">協議の可否・結論を現場だけで独断しない。</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E6F1F0" w:sz="2"/>
              <w:left w:val="single" w:color="237A75" w:sz="18"/>
              <w:bottom w:val="single" w:color="E6F1F0" w:sz="2"/>
              <w:right w:val="single" w:color="E6F1F0" w:sz="2"/>
            </w:tcBorders>
            <w:shd w:fill="E6F1F0"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16314F"/>
                <w:sz w:val="19"/>
                <w:szCs w:val="19"/>
              </w:rPr>
              <w:t xml:space="preserve">協議は『結論』より『過程』</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値上げに応じられない場合でも、協議自体を拒むことはできません。協議に応じ、理由を説明し、経緯を書面（メール等）で残すことが大切です。</w:t>
            </w:r>
          </w:p>
        </w:tc>
      </w:tr>
    </w:tbl>
    <w:p>
      <w:pPr>
        <w:pStyle w:val="Heading1"/>
        <w:keepNext/>
        <w:spacing w:after="140" w:before="120"/>
      </w:pPr>
      <w:r>
        <w:rPr>
          <w:rFonts w:ascii="Meiryo" w:cs="Meiryo" w:eastAsia="Meiryo" w:hAnsi="Meiryo"/>
          <w:b/>
          <w:bCs/>
          <w:i w:val="false"/>
          <w:iCs w:val="false"/>
          <w:color w:val="16314F"/>
          <w:sz w:val="30"/>
          <w:szCs w:val="30"/>
        </w:rPr>
        <w:t xml:space="preserve">9. 発注変更・追加作業・検収</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中小受託事業者に責任がないのに、一方的な仕様変更・数量変更・納期変更・やり直しを求めない。</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追加作業・追加発注を求める場合は、追加代金・納期・仕様・責任分担を協議し記録する。</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仕様が曖昧なまま発注し、納品後に無償の全面やり直しを求めない。</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検収基準は発注時に明確にし、後出しの基準で不合格・返品にしない。</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検収待ちを理由に支払期日を超えない。</w:t>
      </w:r>
    </w:p>
    <w:p>
      <w:pPr>
        <w:pStyle w:val="Heading1"/>
        <w:keepNext/>
        <w:spacing w:after="140" w:before="120"/>
      </w:pPr>
      <w:r>
        <w:rPr>
          <w:rFonts w:ascii="Meiryo" w:cs="Meiryo" w:eastAsia="Meiryo" w:hAnsi="Meiryo"/>
          <w:b/>
          <w:bCs/>
          <w:i w:val="false"/>
          <w:iCs w:val="false"/>
          <w:color w:val="16314F"/>
          <w:sz w:val="30"/>
          <w:szCs w:val="30"/>
        </w:rPr>
        <w:t xml:space="preserve">10. 問題発見時の初動</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違反またはそのおそれに気づいたら、次の順で動きます。</w:t>
      </w:r>
    </w:p>
    <w:p>
      <w:pPr>
        <w:pStyle w:val="ListParagraph"/>
        <w:numPr>
          <w:ilvl w:val="0"/>
          <w:numId w:val="5"/>
        </w:numPr>
        <w:spacing w:after="70" w:line="272"/>
      </w:pPr>
      <w:r>
        <w:rPr>
          <w:rFonts w:ascii="Meiryo" w:cs="Meiryo" w:eastAsia="Meiryo" w:hAnsi="Meiryo"/>
          <w:b w:val="false"/>
          <w:bCs w:val="false"/>
          <w:i w:val="false"/>
          <w:iCs w:val="false"/>
          <w:color w:val="263238"/>
          <w:sz w:val="21"/>
          <w:szCs w:val="21"/>
        </w:rPr>
        <w:t xml:space="preserve">隠さない・消さない：発注書・契約書・メール・チャット・請求書・検収記録・支払記録・協議記録などを保全し、改変・削除しない。</w:t>
      </w:r>
    </w:p>
    <w:p>
      <w:pPr>
        <w:pStyle w:val="ListParagraph"/>
        <w:numPr>
          <w:ilvl w:val="0"/>
          <w:numId w:val="5"/>
        </w:numPr>
        <w:spacing w:after="70" w:line="272"/>
      </w:pPr>
      <w:r>
        <w:rPr>
          <w:rFonts w:ascii="Meiryo" w:cs="Meiryo" w:eastAsia="Meiryo" w:hAnsi="Meiryo"/>
          <w:b w:val="false"/>
          <w:bCs w:val="false"/>
          <w:i w:val="false"/>
          <w:iCs w:val="false"/>
          <w:color w:val="263238"/>
          <w:sz w:val="21"/>
          <w:szCs w:val="21"/>
        </w:rPr>
        <w:t xml:space="preserve">止める：進行中の支払遅延・減額・やり直し要求・取引停止などを、いったん止めて確認する。</w:t>
      </w:r>
    </w:p>
    <w:p>
      <w:pPr>
        <w:pStyle w:val="ListParagraph"/>
        <w:numPr>
          <w:ilvl w:val="0"/>
          <w:numId w:val="5"/>
        </w:numPr>
        <w:spacing w:after="70" w:line="272"/>
      </w:pPr>
      <w:r>
        <w:rPr>
          <w:rFonts w:ascii="Meiryo" w:cs="Meiryo" w:eastAsia="Meiryo" w:hAnsi="Meiryo"/>
          <w:b w:val="false"/>
          <w:bCs w:val="false"/>
          <w:i w:val="false"/>
          <w:iCs w:val="false"/>
          <w:color w:val="263238"/>
          <w:sz w:val="21"/>
          <w:szCs w:val="21"/>
        </w:rPr>
        <w:t xml:space="preserve">つなぐ：現場で結論を出さず、上長と法務・購買・経理・コンプライアンスへ報告する。</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single" w:color="FBEBE9" w:sz="2"/>
              <w:left w:val="single" w:color="B42318" w:sz="18"/>
              <w:bottom w:val="single" w:color="FBEBE9" w:sz="2"/>
              <w:right w:val="single" w:color="FBEBE9" w:sz="2"/>
            </w:tcBorders>
            <w:shd w:fill="FBEBE9" w:val="clear"/>
            <w:tcMar>
              <w:top w:type="dxa" w:w="120"/>
              <w:left w:type="dxa" w:w="170"/>
              <w:bottom w:type="dxa" w:w="120"/>
              <w:right w:type="dxa" w:w="170"/>
            </w:tcMar>
          </w:tcPr>
          <w:p>
            <w:pPr>
              <w:keepNext w:val="false"/>
              <w:spacing w:after="60" w:before="0" w:line="276"/>
              <w:jc w:val="left"/>
            </w:pPr>
            <w:r>
              <w:rPr>
                <w:rFonts w:ascii="Meiryo" w:cs="Meiryo" w:eastAsia="Meiryo" w:hAnsi="Meiryo"/>
                <w:b/>
                <w:bCs/>
                <w:i w:val="false"/>
                <w:iCs w:val="false"/>
                <w:color w:val="B42318"/>
                <w:sz w:val="19"/>
                <w:szCs w:val="19"/>
              </w:rPr>
              <w:t xml:space="preserve">断定しないこと</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取適法該当性・違反該当性、公正取引委員会・中小企業庁・事業所管省庁への対応は、自社規程と専門部署の確認を前提に判断します。現場やAIで最終判断しないでください。</w:t>
            </w:r>
          </w:p>
        </w:tc>
      </w:tr>
    </w:tbl>
    <w:p>
      <w:pPr>
        <w:spacing w:after="0"/>
      </w:pPr>
      <w:r>
        <w:rPr>
          <w:rFonts w:ascii="Meiryo" w:cs="Meiryo" w:eastAsia="Meiryo" w:hAnsi="Meiryo"/>
          <w:b w:val="false"/>
          <w:bCs w:val="false"/>
          <w:i w:val="false"/>
          <w:iCs w:val="false"/>
          <w:color w:val="263238"/>
          <w:sz w:val="40"/>
          <w:szCs w:val="40"/>
        </w:rPr>
        <w:t xml:space="preserve"/>
      </w:r>
    </w:p>
    <w:p>
      <w:pPr>
        <w:pStyle w:val="Heading1"/>
        <w:keepNext/>
        <w:spacing w:after="140" w:before="120"/>
      </w:pPr>
      <w:r>
        <w:rPr>
          <w:rFonts w:ascii="Meiryo" w:cs="Meiryo" w:eastAsia="Meiryo" w:hAnsi="Meiryo"/>
          <w:b/>
          <w:bCs/>
          <w:i w:val="false"/>
          <w:iCs w:val="false"/>
          <w:color w:val="16314F"/>
          <w:sz w:val="30"/>
          <w:szCs w:val="30"/>
        </w:rPr>
        <w:t xml:space="preserve">11. 自社の相談先（要記入）</w:t>
      </w:r>
    </w:p>
    <w:p>
      <w:pPr>
        <w:keepNext w:val="false"/>
        <w:spacing w:after="120" w:before="0" w:line="276"/>
        <w:jc w:val="left"/>
      </w:pPr>
      <w:r>
        <w:rPr>
          <w:rFonts w:ascii="Meiryo" w:cs="Meiryo" w:eastAsia="Meiryo" w:hAnsi="Meiryo"/>
          <w:b w:val="false"/>
          <w:bCs w:val="false"/>
          <w:i w:val="false"/>
          <w:iCs w:val="false"/>
          <w:color w:val="263238"/>
          <w:sz w:val="21"/>
          <w:szCs w:val="21"/>
        </w:rPr>
        <w:t xml:space="preserve">迷ったとき・気づいたときの相談先を、自社の体制に合わせて記入してください。</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c>
          <w:tcPr>
            <w:tcW w:type="dxa" w:w="34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取適法・発注実務の相談窓口</w:t>
            </w:r>
          </w:p>
        </w:tc>
        <w:tc>
          <w:tcPr>
            <w:tcW w:type="dxa" w:w="56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iCs/>
                <w:color w:val="5B6B7B"/>
                <w:sz w:val="16"/>
                <w:szCs w:val="16"/>
              </w:rPr>
              <w:t xml:space="preserve">部署名</w:t>
            </w:r>
          </w:p>
          <w:p>
            <w:pPr>
              <w:keepNext w:val="false"/>
              <w:spacing w:after="0" w:before="0" w:line="276"/>
              <w:jc w:val="left"/>
            </w:pPr>
            <w:r>
              <w:rPr>
                <w:rFonts w:ascii="Meiryo" w:cs="Meiryo" w:eastAsia="Meiryo" w:hAnsi="Meiryo"/>
                <w:b w:val="false"/>
                <w:bCs w:val="false"/>
                <w:i w:val="false"/>
                <w:iCs w:val="false"/>
                <w:color w:val="263238"/>
                <w:sz w:val="18"/>
                <w:szCs w:val="18"/>
              </w:rPr>
              <w:t xml:space="preserve"/>
            </w:r>
          </w:p>
        </w:tc>
      </w:tr>
      <w:tr>
        <w:tc>
          <w:tcPr>
            <w:tcW w:type="dxa" w:w="34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担当者</w:t>
            </w:r>
          </w:p>
        </w:tc>
        <w:tc>
          <w:tcPr>
            <w:tcW w:type="dxa" w:w="56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val="false"/>
                <w:iCs w:val="false"/>
                <w:color w:val="263238"/>
                <w:sz w:val="18"/>
                <w:szCs w:val="18"/>
              </w:rPr>
              <w:t xml:space="preserve"/>
            </w:r>
          </w:p>
        </w:tc>
      </w:tr>
      <w:tr>
        <w:tc>
          <w:tcPr>
            <w:tcW w:type="dxa" w:w="34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連絡先（内線・メール等）</w:t>
            </w:r>
          </w:p>
        </w:tc>
        <w:tc>
          <w:tcPr>
            <w:tcW w:type="dxa" w:w="56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val="false"/>
                <w:iCs w:val="false"/>
                <w:color w:val="263238"/>
                <w:sz w:val="18"/>
                <w:szCs w:val="18"/>
              </w:rPr>
              <w:t xml:space="preserve"/>
            </w:r>
          </w:p>
        </w:tc>
      </w:tr>
      <w:tr>
        <w:tc>
          <w:tcPr>
            <w:tcW w:type="dxa" w:w="34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内部通報窓口</w:t>
            </w:r>
          </w:p>
        </w:tc>
        <w:tc>
          <w:tcPr>
            <w:tcW w:type="dxa" w:w="56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val="false"/>
                <w:iCs w:val="false"/>
                <w:color w:val="263238"/>
                <w:sz w:val="18"/>
                <w:szCs w:val="18"/>
              </w:rPr>
              <w:t xml:space="preserve"/>
            </w:r>
          </w:p>
        </w:tc>
      </w:tr>
      <w:tr>
        <w:tc>
          <w:tcPr>
            <w:tcW w:type="dxa" w:w="3400"/>
            <w:tcBorders>
              <w:top w:val="single" w:color="C9D3DD" w:sz="4"/>
              <w:left w:val="single" w:color="C9D3DD" w:sz="4"/>
              <w:bottom w:val="single" w:color="C9D3DD" w:sz="4"/>
              <w:right w:val="single" w:color="C9D3DD" w:sz="4"/>
            </w:tcBorders>
            <w:shd w:fill="EAEFF5" w:val="clear"/>
            <w:tcMar>
              <w:top w:type="dxa" w:w="70"/>
              <w:left w:type="dxa" w:w="120"/>
              <w:bottom w:type="dxa" w:w="70"/>
              <w:right w:type="dxa" w:w="100"/>
            </w:tcMar>
            <w:vAlign w:val="center"/>
          </w:tcPr>
          <w:p>
            <w:pPr>
              <w:keepNext w:val="false"/>
              <w:spacing w:after="0" w:before="0" w:line="276"/>
              <w:jc w:val="left"/>
            </w:pPr>
            <w:r>
              <w:rPr>
                <w:rFonts w:ascii="Meiryo" w:cs="Meiryo" w:eastAsia="Meiryo" w:hAnsi="Meiryo"/>
                <w:b/>
                <w:bCs/>
                <w:i w:val="false"/>
                <w:iCs w:val="false"/>
                <w:color w:val="16314F"/>
                <w:sz w:val="18"/>
                <w:szCs w:val="18"/>
              </w:rPr>
              <w:t xml:space="preserve">購買・調達／経理の連絡先</w:t>
            </w:r>
          </w:p>
        </w:tc>
        <w:tc>
          <w:tcPr>
            <w:tcW w:type="dxa" w:w="5626"/>
            <w:tcBorders>
              <w:top w:val="single" w:color="C9D3DD" w:sz="4"/>
              <w:left w:val="single" w:color="C9D3DD" w:sz="4"/>
              <w:bottom w:val="single" w:color="C9D3DD" w:sz="4"/>
              <w:right w:val="single" w:color="C9D3DD" w:sz="4"/>
            </w:tcBorders>
            <w:tcMar>
              <w:top w:type="dxa" w:w="70"/>
              <w:left w:type="dxa" w:w="120"/>
              <w:bottom w:type="dxa" w:w="70"/>
              <w:right w:type="dxa" w:w="120"/>
            </w:tcMar>
          </w:tcPr>
          <w:p>
            <w:pPr>
              <w:keepNext w:val="false"/>
              <w:spacing w:after="0" w:before="0" w:line="276"/>
              <w:jc w:val="left"/>
            </w:pPr>
            <w:r>
              <w:rPr>
                <w:rFonts w:ascii="Meiryo" w:cs="Meiryo" w:eastAsia="Meiryo" w:hAnsi="Meiryo"/>
                <w:b w:val="false"/>
                <w:bCs w:val="false"/>
                <w:i w:val="false"/>
                <w:iCs w:val="false"/>
                <w:color w:val="263238"/>
                <w:sz w:val="18"/>
                <w:szCs w:val="18"/>
              </w:rPr>
              <w:t xml:space="preserve"/>
            </w:r>
          </w:p>
        </w:tc>
      </w:tr>
    </w:tbl>
    <w:p>
      <w:pPr>
        <w:pStyle w:val="Heading1"/>
        <w:keepNext/>
        <w:spacing w:after="140" w:before="120"/>
      </w:pPr>
      <w:r>
        <w:rPr>
          <w:rFonts w:ascii="Meiryo" w:cs="Meiryo" w:eastAsia="Meiryo" w:hAnsi="Meiryo"/>
          <w:b/>
          <w:bCs/>
          <w:i w:val="false"/>
          <w:iCs w:val="false"/>
          <w:color w:val="16314F"/>
          <w:sz w:val="30"/>
          <w:szCs w:val="30"/>
        </w:rPr>
        <w:t xml:space="preserve">12. 参考資料（公式）</w:t>
      </w:r>
    </w:p>
    <w:p>
      <w:pPr>
        <w:pStyle w:val="ListParagraph"/>
        <w:numPr>
          <w:ilvl w:val="0"/>
          <w:numId w:val="3"/>
        </w:numPr>
        <w:spacing w:after="70" w:line="272"/>
      </w:pPr>
      <w:r>
        <w:rPr>
          <w:rFonts w:ascii="Meiryo" w:cs="Meiryo" w:eastAsia="Meiryo" w:hAnsi="Meiryo"/>
          <w:b w:val="false"/>
          <w:bCs w:val="false"/>
          <w:i w:val="false"/>
          <w:iCs w:val="false"/>
          <w:color w:val="263238"/>
          <w:sz w:val="18"/>
          <w:szCs w:val="18"/>
        </w:rPr>
        <w:t xml:space="preserve">公正取引委員会 取適法（中小受託取引適正化法）：</w:t>
      </w:r>
      <w:hyperlink w:history="1" r:id="rId-wctuqx6brajhl5tu1orf">
        <w:r>
          <w:rPr>
            <w:rFonts w:ascii="Meiryo" w:cs="Meiryo" w:eastAsia="Meiryo" w:hAnsi="Meiryo"/>
            <w:b w:val="false"/>
            <w:bCs w:val="false"/>
            <w:i w:val="false"/>
            <w:iCs w:val="false"/>
            <w:color w:val="1A4F86"/>
            <w:sz w:val="16"/>
            <w:szCs w:val="16"/>
          </w:rPr>
          <w:t xml:space="preserve">https://www.jftc.go.jp/partnership_package/toritekihou.html</w:t>
        </w:r>
      </w:hyperlink>
    </w:p>
    <w:p>
      <w:pPr>
        <w:pStyle w:val="ListParagraph"/>
        <w:numPr>
          <w:ilvl w:val="0"/>
          <w:numId w:val="3"/>
        </w:numPr>
        <w:spacing w:after="70" w:line="272"/>
      </w:pPr>
      <w:r>
        <w:rPr>
          <w:rFonts w:ascii="Meiryo" w:cs="Meiryo" w:eastAsia="Meiryo" w:hAnsi="Meiryo"/>
          <w:b w:val="false"/>
          <w:bCs w:val="false"/>
          <w:i w:val="false"/>
          <w:iCs w:val="false"/>
          <w:color w:val="263238"/>
          <w:sz w:val="18"/>
          <w:szCs w:val="18"/>
        </w:rPr>
        <w:t xml:space="preserve">公正取引委員会 取適法特設サイト：</w:t>
      </w:r>
      <w:hyperlink w:history="1" r:id="rIdzoldqrdghniapeunewn4p">
        <w:r>
          <w:rPr>
            <w:rFonts w:ascii="Meiryo" w:cs="Meiryo" w:eastAsia="Meiryo" w:hAnsi="Meiryo"/>
            <w:b w:val="false"/>
            <w:bCs w:val="false"/>
            <w:i w:val="false"/>
            <w:iCs w:val="false"/>
            <w:color w:val="1A4F86"/>
            <w:sz w:val="16"/>
            <w:szCs w:val="16"/>
          </w:rPr>
          <w:t xml:space="preserve">https://www.jftc.go.jp/toriteki</w:t>
        </w:r>
      </w:hyperlink>
    </w:p>
    <w:p>
      <w:pPr>
        <w:pStyle w:val="ListParagraph"/>
        <w:numPr>
          <w:ilvl w:val="0"/>
          <w:numId w:val="3"/>
        </w:numPr>
        <w:spacing w:after="70" w:line="272"/>
      </w:pPr>
      <w:r>
        <w:rPr>
          <w:rFonts w:ascii="Meiryo" w:cs="Meiryo" w:eastAsia="Meiryo" w:hAnsi="Meiryo"/>
          <w:b w:val="false"/>
          <w:bCs w:val="false"/>
          <w:i w:val="false"/>
          <w:iCs w:val="false"/>
          <w:color w:val="263238"/>
          <w:sz w:val="18"/>
          <w:szCs w:val="18"/>
        </w:rPr>
        <w:t xml:space="preserve">公正取引委員会 ガイドブック（PDF）：</w:t>
      </w:r>
      <w:hyperlink w:history="1" r:id="rId_phgxchtyaunxxep2cxyl">
        <w:r>
          <w:rPr>
            <w:rFonts w:ascii="Meiryo" w:cs="Meiryo" w:eastAsia="Meiryo" w:hAnsi="Meiryo"/>
            <w:b w:val="false"/>
            <w:bCs w:val="false"/>
            <w:i w:val="false"/>
            <w:iCs w:val="false"/>
            <w:color w:val="1A4F86"/>
            <w:sz w:val="16"/>
            <w:szCs w:val="16"/>
          </w:rPr>
          <w:t xml:space="preserve">https://www.jftc.go.jp/file/toriteki002.pdf</w:t>
        </w:r>
      </w:hyperlink>
    </w:p>
    <w:p>
      <w:pPr>
        <w:pStyle w:val="ListParagraph"/>
        <w:numPr>
          <w:ilvl w:val="0"/>
          <w:numId w:val="3"/>
        </w:numPr>
        <w:spacing w:after="70" w:line="272"/>
      </w:pPr>
      <w:r>
        <w:rPr>
          <w:rFonts w:ascii="Meiryo" w:cs="Meiryo" w:eastAsia="Meiryo" w:hAnsi="Meiryo"/>
          <w:b w:val="false"/>
          <w:bCs w:val="false"/>
          <w:i w:val="false"/>
          <w:iCs w:val="false"/>
          <w:color w:val="263238"/>
          <w:sz w:val="18"/>
          <w:szCs w:val="18"/>
        </w:rPr>
        <w:t xml:space="preserve">公正取引委員会 委託事業者の禁止行為：</w:t>
      </w:r>
      <w:hyperlink w:history="1" r:id="rId25hnttrb0psjsmeoy8wyk">
        <w:r>
          <w:rPr>
            <w:rFonts w:ascii="Meiryo" w:cs="Meiryo" w:eastAsia="Meiryo" w:hAnsi="Meiryo"/>
            <w:b w:val="false"/>
            <w:bCs w:val="false"/>
            <w:i w:val="false"/>
            <w:iCs w:val="false"/>
            <w:color w:val="1A4F86"/>
            <w:sz w:val="16"/>
            <w:szCs w:val="16"/>
          </w:rPr>
          <w:t xml:space="preserve">https://www.jftc.go.jp/shitauke/shitaukegaiyo/oyakinsi.html</w:t>
        </w:r>
      </w:hyperlink>
    </w:p>
    <w:p>
      <w:pPr>
        <w:pStyle w:val="ListParagraph"/>
        <w:numPr>
          <w:ilvl w:val="0"/>
          <w:numId w:val="3"/>
        </w:numPr>
        <w:spacing w:after="70" w:line="272"/>
      </w:pPr>
      <w:r>
        <w:rPr>
          <w:rFonts w:ascii="Meiryo" w:cs="Meiryo" w:eastAsia="Meiryo" w:hAnsi="Meiryo"/>
          <w:b w:val="false"/>
          <w:bCs w:val="false"/>
          <w:i w:val="false"/>
          <w:iCs w:val="false"/>
          <w:color w:val="263238"/>
          <w:sz w:val="18"/>
          <w:szCs w:val="18"/>
        </w:rPr>
        <w:t xml:space="preserve">e-Gov法令検索（取適法）：</w:t>
      </w:r>
      <w:hyperlink w:history="1" r:id="rIdurr8sqhuhurl8tiaarhcz">
        <w:r>
          <w:rPr>
            <w:rFonts w:ascii="Meiryo" w:cs="Meiryo" w:eastAsia="Meiryo" w:hAnsi="Meiryo"/>
            <w:b w:val="false"/>
            <w:bCs w:val="false"/>
            <w:i w:val="false"/>
            <w:iCs w:val="false"/>
            <w:color w:val="1A4F86"/>
            <w:sz w:val="16"/>
            <w:szCs w:val="16"/>
          </w:rPr>
          <w:t xml:space="preserve">https://laws.e-gov.go.jp/law/331AC0000000120/</w:t>
        </w:r>
      </w:hyperlink>
    </w:p>
    <w:p>
      <w:pPr>
        <w:pStyle w:val="ListParagraph"/>
        <w:numPr>
          <w:ilvl w:val="0"/>
          <w:numId w:val="3"/>
        </w:numPr>
        <w:spacing w:after="70" w:line="272"/>
      </w:pPr>
      <w:r>
        <w:rPr>
          <w:rFonts w:ascii="Meiryo" w:cs="Meiryo" w:eastAsia="Meiryo" w:hAnsi="Meiryo"/>
          <w:b w:val="false"/>
          <w:bCs w:val="false"/>
          <w:i w:val="false"/>
          <w:iCs w:val="false"/>
          <w:color w:val="263238"/>
          <w:sz w:val="18"/>
          <w:szCs w:val="18"/>
        </w:rPr>
        <w:t xml:space="preserve">中小企業庁 受託中小企業振興法：</w:t>
      </w:r>
      <w:hyperlink w:history="1" r:id="rIdmngxkkkb9piep8ski4ime">
        <w:r>
          <w:rPr>
            <w:rFonts w:ascii="Meiryo" w:cs="Meiryo" w:eastAsia="Meiryo" w:hAnsi="Meiryo"/>
            <w:b w:val="false"/>
            <w:bCs w:val="false"/>
            <w:i w:val="false"/>
            <w:iCs w:val="false"/>
            <w:color w:val="1A4F86"/>
            <w:sz w:val="16"/>
            <w:szCs w:val="16"/>
          </w:rPr>
          <w:t xml:space="preserve">https://www.chusho.meti.go.jp/keiei/torihiki/shinko/jyutaku.html</w:t>
        </w:r>
      </w:hyperlink>
    </w:p>
    <w:p>
      <w:pPr>
        <w:pStyle w:val="ListParagraph"/>
        <w:numPr>
          <w:ilvl w:val="0"/>
          <w:numId w:val="3"/>
        </w:numPr>
        <w:spacing w:after="70" w:line="272"/>
      </w:pPr>
      <w:r>
        <w:rPr>
          <w:rFonts w:ascii="Meiryo" w:cs="Meiryo" w:eastAsia="Meiryo" w:hAnsi="Meiryo"/>
          <w:b w:val="false"/>
          <w:bCs w:val="false"/>
          <w:i w:val="false"/>
          <w:iCs w:val="false"/>
          <w:color w:val="263238"/>
          <w:sz w:val="18"/>
          <w:szCs w:val="18"/>
        </w:rPr>
        <w:t xml:space="preserve">政府広報オンライン（2026年1月から下請法が取適法に）：</w:t>
      </w:r>
      <w:hyperlink w:history="1" r:id="rIddqqdf_awrrbi7xfoh0m8i">
        <w:r>
          <w:rPr>
            <w:rFonts w:ascii="Meiryo" w:cs="Meiryo" w:eastAsia="Meiryo" w:hAnsi="Meiryo"/>
            <w:b w:val="false"/>
            <w:bCs w:val="false"/>
            <w:i w:val="false"/>
            <w:iCs w:val="false"/>
            <w:color w:val="1A4F86"/>
            <w:sz w:val="16"/>
            <w:szCs w:val="16"/>
          </w:rPr>
          <w:t xml:space="preserve">https://www.gov-online.go.jp/article/202511/entry-9983.html</w:t>
        </w:r>
      </w:hyperlink>
    </w:p>
    <w:p>
      <w:pPr>
        <w:pStyle w:val="Heading1"/>
        <w:keepNext/>
        <w:spacing w:after="140" w:before="120"/>
      </w:pPr>
      <w:r>
        <w:rPr>
          <w:rFonts w:ascii="Meiryo" w:cs="Meiryo" w:eastAsia="Meiryo" w:hAnsi="Meiryo"/>
          <w:b/>
          <w:bCs/>
          <w:i w:val="false"/>
          <w:iCs w:val="false"/>
          <w:color w:val="16314F"/>
          <w:sz w:val="30"/>
          <w:szCs w:val="30"/>
        </w:rPr>
        <w:t xml:space="preserve">13. 注意事項</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本ハンドブックは社内研修・実務理解のための概説であり、取適法該当性・違反該当性を判定するものではありません。</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記載は2026年6月18日時点の理解に基づきます。法令・運用は変わり得るため、最新情報は公正取引委員会等の一次資料で確認してください。</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実際の取引・案件は、自社の購買・発注・外注管理規程、取適法対応規程、契約雛形等と、法務・購買・経理・コンプライアンスの確認を前提に対応してください。</w:t>
      </w:r>
    </w:p>
    <w:p>
      <w:pPr>
        <w:pStyle w:val="ListParagraph"/>
        <w:numPr>
          <w:ilvl w:val="0"/>
          <w:numId w:val="4"/>
        </w:numPr>
        <w:spacing w:after="70" w:line="272"/>
      </w:pPr>
      <w:r>
        <w:rPr>
          <w:rFonts w:ascii="Meiryo" w:cs="Meiryo" w:eastAsia="Meiryo" w:hAnsi="Meiryo"/>
          <w:b w:val="false"/>
          <w:bCs w:val="false"/>
          <w:i w:val="false"/>
          <w:iCs w:val="false"/>
          <w:color w:val="263238"/>
          <w:sz w:val="21"/>
          <w:szCs w:val="21"/>
        </w:rPr>
        <w:t xml:space="preserve">個別案件でAIを利用する場合は、取引先名・発注金額・価格交渉内容・未公表案件・契約全文・営業秘密・個人情報をそのまま外部AIへ入力せず、匿名化・マスキングと、自社承認済み環境・人による確認を前提にしてください。</w:t>
      </w:r>
    </w:p>
    <w:p>
      <w:pPr>
        <w:spacing w:after="0"/>
      </w:pPr>
      <w:r>
        <w:rPr>
          <w:rFonts w:ascii="Meiryo" w:cs="Meiryo" w:eastAsia="Meiryo" w:hAnsi="Meiryo"/>
          <w:b w:val="false"/>
          <w:bCs w:val="false"/>
          <w:i w:val="false"/>
          <w:iCs w:val="false"/>
          <w:color w:val="263238"/>
          <w:sz w:val="20"/>
          <w:szCs w:val="20"/>
        </w:rPr>
        <w:t xml:space="preserve"/>
      </w:r>
    </w:p>
    <w:p>
      <w:pPr>
        <w:keepNext w:val="false"/>
        <w:spacing w:after="0" w:before="0" w:line="276"/>
        <w:jc w:val="left"/>
      </w:pPr>
      <w:r>
        <w:rPr>
          <w:rFonts w:ascii="Meiryo" w:cs="Meiryo" w:eastAsia="Meiryo" w:hAnsi="Meiryo"/>
          <w:b w:val="false"/>
          <w:bCs w:val="false"/>
          <w:i w:val="false"/>
          <w:iCs w:val="false"/>
          <w:color w:val="5B6B7B"/>
          <w:sz w:val="15"/>
          <w:szCs w:val="15"/>
        </w:rPr>
        <w:t xml:space="preserve">法務・総務のための社内研修資料20選｜第17回　取適法（中小受託取引適正化法）　／　法令・制度基準日：2026年6月18日</w:t>
      </w:r>
    </w:p>
    <w:sectPr>
      <w:pgSz w:w="11906" w:h="16838" w:orient="portrait"/>
      <w:pgMar w:top="1440" w:right="1440" w:bottom="130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900" w:hanging="260"/>
      </w:pPr>
      <w:rPr>
        <w:color w:val="5B6B7B"/>
      </w:rPr>
    </w:lvl>
  </w:abstractNum>
  <w:abstractNum w:abstractNumId="3" w15:restartNumberingAfterBreak="0">
    <w:multiLevelType w:val="hybridMultilevel"/>
    <w:lvl w:ilvl="0" w15:tentative="1">
      <w:start w:val="1"/>
      <w:numFmt w:val="bullet"/>
      <w:lvlText w:val="•"/>
      <w:lvlJc w:val="left"/>
      <w:pPr>
        <w:ind w:left="460" w:hanging="260"/>
      </w:pPr>
      <w:rPr>
        <w:color w:val="237A75"/>
      </w:r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Q%1."/>
      <w:lvlJc w:val="left"/>
      <w:pPr>
        <w:ind w:left="560" w:hanging="560"/>
      </w:pPr>
      <w:rPr>
        <w:b/>
        <w:bCs/>
        <w:color w:val="16314F"/>
      </w:rPr>
    </w:lvl>
  </w:abstractNum>
  <w:num w:numId="1">
    <w:abstractNumId w:val="1"/>
    <w:lvlOverride w:ilvl="0">
      <w:startOverride w:val="1"/>
    </w:lvlOverride>
  </w:num>
  <w:num w:numId="2">
    <w:abstractNumId w:val="5"/>
    <w:lvlOverride w:ilvl="0">
      <w:startOverride w:val="1"/>
    </w:lvlOverride>
  </w:num>
  <w:num w:numId="3">
    <w:abstractNumId w:val="3"/>
    <w:lvlOverride w:ilvl="0">
      <w:startOverride w:val="1"/>
    </w:lvlOverride>
  </w:num>
  <w:num w:numId="4">
    <w:abstractNumId w:val="2"/>
    <w:lvlOverride w:ilvl="0">
      <w:startOverride w:val="1"/>
    </w:lvlOverride>
  </w:num>
  <w:num w:numId="5">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12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40"/>
      <w:outlineLvl w:val="1"/>
    </w:pPr>
    <w:rPr>
      <w:rFonts w:ascii="Meiryo" w:cs="Meiryo" w:eastAsia="Meiryo" w:hAnsi="Meiryo"/>
      <w:b/>
      <w:bCs/>
      <w:color w:val="16314F"/>
      <w:sz w:val="25"/>
      <w:szCs w:val="25"/>
    </w:rPr>
  </w:style>
  <w:style w:type="paragraph" w:styleId="Heading3">
    <w:name w:val="Heading 3"/>
    <w:basedOn w:val="Normal"/>
    <w:next w:val="Normal"/>
    <w:qFormat/>
    <w:pPr>
      <w:spacing w:after="90" w:before="180"/>
      <w:outlineLvl w:val="2"/>
    </w:pPr>
    <w:rPr>
      <w:rFonts w:ascii="Meiryo" w:cs="Meiryo" w:eastAsia="Meiryo" w:hAnsi="Meiryo"/>
      <w:b/>
      <w:bCs/>
      <w:color w:val="243B53"/>
      <w:sz w:val="22"/>
      <w:szCs w:val="22"/>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wctuqx6brajhl5tu1orf" Type="http://schemas.openxmlformats.org/officeDocument/2006/relationships/hyperlink" Target="https://www.jftc.go.jp/partnership_package/toritekihou.html" TargetMode="External"/><Relationship Id="rIdzoldqrdghniapeunewn4p" Type="http://schemas.openxmlformats.org/officeDocument/2006/relationships/hyperlink" Target="https://www.jftc.go.jp/toriteki" TargetMode="External"/><Relationship Id="rId_phgxchtyaunxxep2cxyl" Type="http://schemas.openxmlformats.org/officeDocument/2006/relationships/hyperlink" Target="https://www.jftc.go.jp/file/toriteki002.pdf" TargetMode="External"/><Relationship Id="rId25hnttrb0psjsmeoy8wyk" Type="http://schemas.openxmlformats.org/officeDocument/2006/relationships/hyperlink" Target="https://www.jftc.go.jp/shitauke/shitaukegaiyo/oyakinsi.html" TargetMode="External"/><Relationship Id="rIdurr8sqhuhurl8tiaarhcz" Type="http://schemas.openxmlformats.org/officeDocument/2006/relationships/hyperlink" Target="https://laws.e-gov.go.jp/law/331AC0000000120/" TargetMode="External"/><Relationship Id="rIdmngxkkkb9piep8ski4ime" Type="http://schemas.openxmlformats.org/officeDocument/2006/relationships/hyperlink" Target="https://www.chusho.meti.go.jp/keiei/torihiki/shinko/jyutaku.html" TargetMode="External"/><Relationship Id="rIddqqdf_awrrbi7xfoh0m8i" Type="http://schemas.openxmlformats.org/officeDocument/2006/relationships/hyperlink" Target="https://www.gov-online.go.jp/article/202511/entry-9983.html"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取適法ハンドブック</dc:title>
  <dc:creator>Legal GPT</dc:creator>
  <dc:description>取適法 社内研修資料 第17回</dc:description>
  <cp:lastModifiedBy>Un-named</cp:lastModifiedBy>
  <cp:revision>1</cp:revision>
  <dcterms:created xsi:type="dcterms:W3CDTF">2026-06-23T03:41:42.503Z</dcterms:created>
  <dcterms:modified xsi:type="dcterms:W3CDTF">2026-06-23T03:41:42.503Z</dcterms:modified>
</cp:coreProperties>
</file>

<file path=docProps/custom.xml><?xml version="1.0" encoding="utf-8"?>
<Properties xmlns="http://schemas.openxmlformats.org/officeDocument/2006/custom-properties" xmlns:vt="http://schemas.openxmlformats.org/officeDocument/2006/docPropsVTypes"/>
</file>