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60"/>
          <w:szCs w:val="60"/>
        </w:rPr>
        <w:t xml:space="preserve"/>
      </w:r>
    </w:p>
    <w:p>
      <w:pPr>
        <w:keepNext w:val="false"/>
        <w:spacing w:after="6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B58A3A"/>
          <w:sz w:val="18"/>
          <w:szCs w:val="18"/>
        </w:rPr>
        <w:t xml:space="preserve">法務・総務のための社内研修資料20選</w:t>
      </w:r>
    </w:p>
    <w:p>
      <w:pPr>
        <w:keepNext w:val="false"/>
        <w:spacing w:after="20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8"/>
          <w:szCs w:val="18"/>
        </w:rPr>
        <w:t xml:space="preserve">第17回　取適法（中小受託取引適正化法）</w:t>
      </w:r>
    </w:p>
    <w:p>
      <w:pPr>
        <w:spacing w:after="120" w:line="3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40"/>
          <w:szCs w:val="40"/>
        </w:rPr>
        <w:t xml:space="preserve">取適法 研修実施ガイド</w:t>
      </w:r>
    </w:p>
    <w:p>
      <w:pPr>
        <w:keepNext w:val="false"/>
        <w:spacing w:after="240" w:before="0" w:line="276"/>
        <w:jc w:val="left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43B53"/>
          <w:sz w:val="22"/>
          <w:szCs w:val="22"/>
        </w:rPr>
        <w:t xml:space="preserve">事務局・講師のための準備・運営・フォローの手引き（教材10点の使い方つき）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このガイドについて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書は、第17回「取適法（中小受託取引適正化法）」研修を社内で実施する事務局・講師向けの運営マニュアルです。研修のねらい、対象者、所要時間、教材10点の使い方、当日の進め方、確認テストの採点とフォロー、カスタマイズの考え方をまとめています。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取適法該当性・違反該当性の最終判断や行政対応は、自社規程と法務・購買・経理・コンプライアンスの確認を前提とします。本研修は基礎理解と早期相談の定着を目的とするものです。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法令・制度基準日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2026年6月18日</w:t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取適法の施行日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2026年（令和8年）1月1日（旧下請法＝下請代金支払遅延等防止法の改正法）</w:t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想定受講者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購買・調達・発注・外注・委託・製造・開発・情報システム・制作・物流・経理・管理職ほか、発注／委託に関わる全社員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第1部　研修のねらいと対象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「名前が変わっただけ」で終わらせない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研修のねらい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旧下請法を改正した取適法の全体像（名称・用語・対象・義務・禁止行為の変更点）を、発注する側の社員が理解する。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発注前・発注時・支払・価格協議・変更・問題発見時の各段階で、何を確認し、何をしてはいけないかを具体的に押さえる。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迷ったときに現場だけで判断せず、法務・購買・経理・コンプライアンスへ早期に相談する行動を定着させる。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特に届けたい対象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対象</w:t>
            </w:r>
          </w:p>
        </w:tc>
        <w:tc>
          <w:tcPr>
            <w:tcW w:type="dxa" w:w="60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この研修で重点的に伝えたいこと</w:t>
            </w:r>
          </w:p>
        </w:tc>
      </w:tr>
      <w:tr>
        <w:tc>
          <w:tcPr>
            <w:tcW w:type="dxa" w:w="3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購買・調達・発注・外注担当</w:t>
            </w:r>
          </w:p>
        </w:tc>
        <w:tc>
          <w:tcPr>
            <w:tcW w:type="dxa" w:w="60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対象取引の確認、4条明示、支払期日（受領日起算60日）、減額・買いたたき・やり直し等の禁止行為</w:t>
            </w:r>
          </w:p>
        </w:tc>
      </w:tr>
      <w:tr>
        <w:tc>
          <w:tcPr>
            <w:tcW w:type="dxa" w:w="3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製造・開発・情報システム・制作</w:t>
            </w:r>
          </w:p>
        </w:tc>
        <w:tc>
          <w:tcPr>
            <w:tcW w:type="dxa" w:w="60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仕様・検査基準の明確化、無償やり直しの防止、情報成果物作成委託の該当性</w:t>
            </w:r>
          </w:p>
        </w:tc>
      </w:tr>
      <w:tr>
        <w:tc>
          <w:tcPr>
            <w:tcW w:type="dxa" w:w="3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物流・運送の発注担当</w:t>
            </w:r>
          </w:p>
        </w:tc>
        <w:tc>
          <w:tcPr>
            <w:tcW w:type="dxa" w:w="60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2026年に追加された特定運送委託の該当性と発注条件の明示</w:t>
            </w:r>
          </w:p>
        </w:tc>
      </w:tr>
      <w:tr>
        <w:tc>
          <w:tcPr>
            <w:tcW w:type="dxa" w:w="3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経理・支払担当</w:t>
            </w:r>
          </w:p>
        </w:tc>
        <w:tc>
          <w:tcPr>
            <w:tcW w:type="dxa" w:w="60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支払期日の起算点（受領日）、手形払の取扱い、振込手数料の控除と減額</w:t>
            </w:r>
          </w:p>
        </w:tc>
      </w:tr>
      <w:tr>
        <w:tc>
          <w:tcPr>
            <w:tcW w:type="dxa" w:w="3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管理職</w:t>
            </w:r>
          </w:p>
        </w:tc>
        <w:tc>
          <w:tcPr>
            <w:tcW w:type="dxa" w:w="60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部下の発注実務の点検と、早期相談を促すマネジメント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第2部　所要時間とプログラム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標準45〜55分／拡張70〜80分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標準プログラム（約45〜55分）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100"/>
        <w:gridCol w:w="3826"/>
        <w:gridCol w:w="1700"/>
      </w:tblGrid>
      <w:tr>
        <w:trPr>
          <w:tblHeader/>
        </w:trPr>
        <w:tc>
          <w:tcPr>
            <w:tcW w:type="dxa" w:w="24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区分</w:t>
            </w:r>
          </w:p>
        </w:tc>
        <w:tc>
          <w:tcPr>
            <w:tcW w:type="dxa" w:w="11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目安</w:t>
            </w:r>
          </w:p>
        </w:tc>
        <w:tc>
          <w:tcPr>
            <w:tcW w:type="dxa" w:w="38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内容</w:t>
            </w:r>
          </w:p>
        </w:tc>
        <w:tc>
          <w:tcPr>
            <w:tcW w:type="dxa" w:w="17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該当スライド</w:t>
            </w:r>
          </w:p>
        </w:tc>
      </w:tr>
      <w:tr>
        <w:tc>
          <w:tcPr>
            <w:tcW w:type="dxa" w:w="24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導入</w:t>
            </w:r>
          </w:p>
        </w:tc>
        <w:tc>
          <w:tcPr>
            <w:tcW w:type="dxa" w:w="11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5分</w:t>
            </w:r>
          </w:p>
        </w:tc>
        <w:tc>
          <w:tcPr>
            <w:tcW w:type="dxa" w:w="38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本日のゴール・導入ケース（発注後の値下げ）</w:t>
            </w:r>
          </w:p>
        </w:tc>
        <w:tc>
          <w:tcPr>
            <w:tcW w:type="dxa" w:w="17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1〜4</w:t>
            </w:r>
          </w:p>
        </w:tc>
      </w:tr>
      <w:tr>
        <w:tc>
          <w:tcPr>
            <w:tcW w:type="dxa" w:w="24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旧下請法からの変更点</w:t>
            </w:r>
          </w:p>
        </w:tc>
        <w:tc>
          <w:tcPr>
            <w:tcW w:type="dxa" w:w="11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8分</w:t>
            </w:r>
          </w:p>
        </w:tc>
        <w:tc>
          <w:tcPr>
            <w:tcW w:type="dxa" w:w="38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名称・用語・対象・義務・禁止行為の変更、他研修との違い</w:t>
            </w:r>
          </w:p>
        </w:tc>
        <w:tc>
          <w:tcPr>
            <w:tcW w:type="dxa" w:w="17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5〜7</w:t>
            </w:r>
          </w:p>
        </w:tc>
      </w:tr>
      <w:tr>
        <w:tc>
          <w:tcPr>
            <w:tcW w:type="dxa" w:w="24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対象取引と4つの義務</w:t>
            </w:r>
          </w:p>
        </w:tc>
        <w:tc>
          <w:tcPr>
            <w:tcW w:type="dxa" w:w="11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12分</w:t>
            </w:r>
          </w:p>
        </w:tc>
        <w:tc>
          <w:tcPr>
            <w:tcW w:type="dxa" w:w="38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5類型・資本金／従業員基準・4条明示・支払期日・記録・遅延利息</w:t>
            </w:r>
          </w:p>
        </w:tc>
        <w:tc>
          <w:tcPr>
            <w:tcW w:type="dxa" w:w="17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8〜15</w:t>
            </w:r>
          </w:p>
        </w:tc>
      </w:tr>
      <w:tr>
        <w:tc>
          <w:tcPr>
            <w:tcW w:type="dxa" w:w="24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11類型の禁止行為</w:t>
            </w:r>
          </w:p>
        </w:tc>
        <w:tc>
          <w:tcPr>
            <w:tcW w:type="dxa" w:w="11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12分</w:t>
            </w:r>
          </w:p>
        </w:tc>
        <w:tc>
          <w:tcPr>
            <w:tcW w:type="dxa" w:w="38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受領拒否〜協議に応じない一方的代金決定（2026新設）</w:t>
            </w:r>
          </w:p>
        </w:tc>
        <w:tc>
          <w:tcPr>
            <w:tcW w:type="dxa" w:w="17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16〜25</w:t>
            </w:r>
          </w:p>
        </w:tc>
      </w:tr>
      <w:tr>
        <w:tc>
          <w:tcPr>
            <w:tcW w:type="dxa" w:w="24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価格協議・変更・初動</w:t>
            </w:r>
          </w:p>
        </w:tc>
        <w:tc>
          <w:tcPr>
            <w:tcW w:type="dxa" w:w="11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6分</w:t>
            </w:r>
          </w:p>
        </w:tc>
        <w:tc>
          <w:tcPr>
            <w:tcW w:type="dxa" w:w="38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価格転嫁・発注変更・検収・違反疑い時の初動</w:t>
            </w:r>
          </w:p>
        </w:tc>
        <w:tc>
          <w:tcPr>
            <w:tcW w:type="dxa" w:w="17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26〜29</w:t>
            </w:r>
          </w:p>
        </w:tc>
      </w:tr>
      <w:tr>
        <w:tc>
          <w:tcPr>
            <w:tcW w:type="dxa" w:w="24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ケース・まとめ</w:t>
            </w:r>
          </w:p>
        </w:tc>
        <w:tc>
          <w:tcPr>
            <w:tcW w:type="dxa" w:w="11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7分</w:t>
            </w:r>
          </w:p>
        </w:tc>
        <w:tc>
          <w:tcPr>
            <w:tcW w:type="dxa" w:w="38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ケース6問・日常チェック・行動原則・相談窓口</w:t>
            </w:r>
          </w:p>
        </w:tc>
        <w:tc>
          <w:tcPr>
            <w:tcW w:type="dxa" w:w="17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30〜37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拡張プログラム（約70〜80分）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標準プログラムに加え、ケース演習ワークブックを使ったグループ討議（15〜20分）を組み込みます。3〜5名の小グループで1〜2ケースを議論し、各グループが結論と理由を発表します。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確認テスト（問題）をその場で実施・採点する場合は、解答・解説の時間を含めて10〜15分を見込みます。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講師用スクリプト末尾の「想定質問16問」と70〜80分拡張オプションも併せて活用してください。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第3部　教材10点と使い方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この回はダウンロード資料10点で構成されています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keepNext w:val="false"/>
        <w:spacing w:after="120" w:before="0" w:line="276"/>
        <w:jc w:val="left"/>
      </w:pPr>
      <w:r>
        <w:rPr>
          <w:rFonts w:ascii="Meiryo" w:cs="Meiryo" w:eastAsia="Meiryo" w:hAnsi="Meiryo"/>
          <w:b w:val="false"/>
          <w:bCs w:val="false"/>
          <w:i/>
          <w:iCs/>
          <w:color w:val="5B6B7B"/>
          <w:sz w:val="19"/>
          <w:szCs w:val="19"/>
        </w:rPr>
        <w:t xml:space="preserve">各教材の役割は次のとおりです。投影・配布・記録・採点・掲載で使い分けてください。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1000"/>
        <w:gridCol w:w="4726"/>
      </w:tblGrid>
      <w:tr>
        <w:trPr>
          <w:tblHeader/>
        </w:trP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教材（ファイル）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形式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16314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主な用途・使い方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① 研修スライド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PPTX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本編の投影資料（全37枚）。標準プログラムの中心。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② ハンドブック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受講者の事前・事後の読み物。要点を通読でき、研修後の手引きとしても使える。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③ 発注前・発注後チェックリスト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実務で発注の各段階に使うチェック。研修後に配布し、日常業務で活用。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④ 対応記録シート集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発注条件変更・価格協議・違反疑い初動等の記録様式。実務での記録用。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⑤ ケース演習ワークブック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グループ討議用の8ケース。拡張プログラムで使用。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⑥ 確認テスト（問題）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理解度確認の全12問。受講者に配布。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⑦ 確認テスト（解答・解説）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採点・復習・講師解説用。該当スライドと採点目安つき。事務局・講師が保管。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⑧ 講師用スクリプト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スライド進行の台本。話す内容・問い・想定回答・誤解されやすい点を収録。講師用。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⑨ 研修実施ガイド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Word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本書。事務局・講師の運営マニュアル。</w:t>
            </w:r>
          </w:p>
        </w:tc>
      </w:tr>
      <w:tr>
        <w:tc>
          <w:tcPr>
            <w:tcW w:type="dxa" w:w="33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⑩ 掲載用記事（WordPress）</w:t>
            </w:r>
          </w:p>
        </w:tc>
        <w:tc>
          <w:tcPr>
            <w:tcW w:type="dxa" w:w="10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HTML</w:t>
            </w:r>
          </w:p>
        </w:tc>
        <w:tc>
          <w:tcPr>
            <w:tcW w:type="dxa" w:w="47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社内ポータル・ブログ掲載用の解説記事。受講案内や資料配布の入口に使う。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第4部　事前準備（事務局・講師）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事務局の準備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対象者・日程・会場（またはオンライン）を決定し、受講案内を配信する（⑩掲載用記事を入口として活用）。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配布物を準備する（②ハンドブック、③チェックリスト、⑥確認テスト〔問題〕。拡張時は⑤ワークブック）。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⑦解答・解説、⑧講師用スクリプト、本ガイドは講師・事務局用として手元に用意する（受講者には未配布）。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自社の購買・発注・外注管理規程、相談窓口の連絡先を確認し、研修で案内できるようにする。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2"/>
          <w:szCs w:val="22"/>
        </w:rPr>
        <w:t xml:space="preserve">講師の準備</w:t>
      </w:r>
    </w:p>
    <w:p>
      <w:pPr>
        <w:pStyle w:val="ListParagraph"/>
        <w:numPr>
          <w:ilvl w:val="0"/>
          <w:numId w:val="5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①スライドと⑧講師用スクリプトを通読し、スライドの進行と「言ってはいけない説明」を確認する。</w:t>
      </w:r>
    </w:p>
    <w:p>
      <w:pPr>
        <w:pStyle w:val="ListParagraph"/>
        <w:numPr>
          <w:ilvl w:val="0"/>
          <w:numId w:val="5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自社で実際に起こりやすい取引・ヒヤリ事例を1〜2件用意し、ケースに重ねて話せるようにする（具体名・金額は伏せる）。</w:t>
      </w:r>
    </w:p>
    <w:p>
      <w:pPr>
        <w:pStyle w:val="ListParagraph"/>
        <w:numPr>
          <w:ilvl w:val="0"/>
          <w:numId w:val="5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確認テストを当日実施するか、後日実施かを決め、採点とフォローの段取りを確認する。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EAEFF5" w:sz="2"/>
              <w:left w:val="single" w:color="16314F" w:sz="18"/>
              <w:bottom w:val="single" w:color="EAEFF5" w:sz="2"/>
              <w:right w:val="single" w:color="EAEFF5" w:sz="2"/>
            </w:tcBorders>
            <w:shd w:fill="EAEFF5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法令基準日の確認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本教材の法令・制度基準日は2026年6月18日です。実施前に、公正取引委員会・中小企業庁の最新の運用・ガイドライン等を確認し、変更があれば該当スライド・配布物を更新してください。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第5部　当日の進め方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導入：本日のゴールを示し、導入ケース（発注後の値下げ）で「身近な問題」として入る（スライド1〜4）。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変更点：旧下請法から取適法への変更点を整理し、「名前が変わっただけではない」ことを伝える（スライド5〜7）。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義務：対象取引5類型と規模基準、4条明示・支払期日（受領日起算60日）・記録・遅延利息の4つの義務を確認する（スライド8〜15）。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禁止行為：11類型を概観し、減額・買いたたき・やり直し・報復措置・新設の協議に応じない一方的代金決定を重点的に扱う（スライド16〜25）。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実務：価格協議・価格転嫁、発注変更・検収、違反疑い時の初動を確認する（スライド26〜29）。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ケース・まとめ：ケース6問で理解を確認し、日常チェックと行動原則・相談窓口を共有する（スライド30〜37）。拡張時は⑤ワークブックで討議。</w:t>
      </w:r>
    </w:p>
    <w:p>
      <w:pPr>
        <w:pStyle w:val="ListParagraph"/>
        <w:numPr>
          <w:ilvl w:val="0"/>
          <w:numId w:val="4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確認テスト：⑥問題を実施し、⑦解答・解説で振り返る（当日または後日）。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E6F1F0" w:sz="2"/>
              <w:left w:val="single" w:color="237A75" w:sz="18"/>
              <w:bottom w:val="single" w:color="E6F1F0" w:sz="2"/>
              <w:right w:val="single" w:color="E6F1F0" w:sz="2"/>
            </w:tcBorders>
            <w:shd w:fill="E6F1F0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進め方のコツ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「結論を出すこと」より「迷ったら相談する線引き」を持ち帰ってもらうことを優先します。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受講者に断定を求めず、グレーな取引は『発注前に法務・購買へ』と繰り返し伝えると定着します。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第6部　確認テストの採点とフォロー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配点は全12問・各1点（合計12点）。○×・四択は正誤で、ケース判断は⑦解答・解説の採点目安に沿って採点します。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誤答が多い論点（支払期日の起算点＝受領日、2026年新設の禁止行為、報復措置）は、該当スライドに戻って復習します。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ケース判断は「正解／不正解」よりも、問題となり得る禁止行為を指摘し、相談行動につなげられているかを重視します。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受講後は、実務で迷ったときの相談先とタイミングを改めて周知し、③チェックリスト・④記録シートの活用を促します。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到達の目安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9点以上：基本を理解。実務での早期相談を促す。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6〜8点：おおむね理解。誤答論点を個別にフォロー。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5点以下：再受講または個別補講を検討し、当面はチェックリスト・相談を徹底。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第7部　自社に合わせたカスタマイズ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自社の主な取引類型（製造・情報成果物・役務・運送等）に合わせ、該当するケース・チェック項目を重点化する。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自社の購買・発注・外注管理規程、価格転嫁ルール、相談窓口の名称・連絡先をスライド・配布物に反映する。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過去のヒヤリ事例・社内で起こりやすい場面を、具体名・金額を伏せたうえでケースに追加する。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部門別（購買／開発／物流／経理）に重点スライドを絞った短縮版を作る場合は、義務と該当する禁止行為を必ず含める。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EAEFF5" w:sz="2"/>
              <w:left w:val="single" w:color="16314F" w:sz="18"/>
              <w:bottom w:val="single" w:color="EAEFF5" w:sz="2"/>
              <w:right w:val="single" w:color="EAEFF5" w:sz="2"/>
            </w:tcBorders>
            <w:shd w:fill="EAEFF5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カスタマイズ時の前提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教材を改変する場合も、取適法が定める義務・禁止行為の内容を弱めたり、誤解を与える表現に変えたりしないでください。法令・制度基準日と出典（公正取引委員会・中小企業庁・e-Gov）を併記しておくと、後の更新が容易になります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B42318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第8部　実施上の注意</w:t>
            </w:r>
          </w:p>
          <w:p>
            <w:pPr>
              <w:spacing w:after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研修で避けたい説明・外部AI利用の注意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B42318"/>
          <w:sz w:val="22"/>
          <w:szCs w:val="22"/>
        </w:rPr>
        <w:t xml:space="preserve">研修で避けたい説明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「取適法は名前が変わっただけ」「うちは大企業だから関係ない」といった、義務・禁止行為を軽視させる説明はしない。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「相手が中小受託事業者でなければ何をしてもよい」「対象外だと思えば確認しなくてよい」といった断定はしない。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「口頭発注だけで十分」「条件は後で決めればよい」「検収まで支払を遅らせてよい」「手形払はこれまでどおり使える」等、誤った実務を肯定しない。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該当性・違反該当性を、現場や外部AIだけで最終判断してよい、と受け取られる説明はしない。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この研修を受ければ取適法対応体制が完成する、という誤解を与えない（体制整備・規程・運用は別途必要）。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Style w:val="Heading3"/>
        <w:keepNext/>
        <w:spacing w:after="90" w:before="180"/>
      </w:pPr>
      <w:r>
        <w:rPr>
          <w:rFonts w:ascii="Meiryo" w:cs="Meiryo" w:eastAsia="Meiryo" w:hAnsi="Meiryo"/>
          <w:b/>
          <w:bCs/>
          <w:i w:val="false"/>
          <w:iCs w:val="false"/>
          <w:color w:val="B42318"/>
          <w:sz w:val="22"/>
          <w:szCs w:val="22"/>
        </w:rPr>
        <w:t xml:space="preserve">外部AI・ツール利用の注意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取引先名・金額・価格交渉の内容・契約全文・営業秘密・個人情報を、そのまま外部のAIサービスへ入力しない。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AIはあくまで下調べ・整理の補助であり、取適法該当性や違反の有無を最終判断するものではない。</w:t>
      </w:r>
    </w:p>
    <w:p>
      <w:pPr>
        <w:pStyle w:val="ListParagraph"/>
        <w:numPr>
          <w:ilvl w:val="0"/>
          <w:numId w:val="2"/>
        </w:numPr>
        <w:spacing w:after="70" w:line="272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利用する場合は、マスキング・自社が承認した環境・人による確認を前提とし、自社の情報管理／生成AI利用ルールに従う。</w:t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BEBE9" w:sz="2"/>
              <w:left w:val="single" w:color="B42318" w:sz="18"/>
              <w:bottom w:val="single" w:color="FBEBE9" w:sz="2"/>
              <w:right w:val="single" w:color="FBEBE9" w:sz="2"/>
            </w:tcBorders>
            <w:shd w:fill="FBEBE9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相談先（社内）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判断に迷う取引・グレーな場面は、発注前に法務・購買・経理・コンプライアンスへ相談します。相談先の名称・連絡先・受付方法は、実施前に自社の情報に置き換えてください。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126"/>
      </w:tblGrid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改訂・基準日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本ガイドの法令・制度基準日は2026年6月18日。最新の運用・ガイドライン等を確認のうえ実施してください。</w:t>
            </w:r>
          </w:p>
        </w:tc>
      </w:tr>
      <w:tr>
        <w:tc>
          <w:tcPr>
            <w:tcW w:type="dxa" w:w="290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8"/>
                <w:szCs w:val="18"/>
              </w:rPr>
              <w:t xml:space="preserve">出典</w:t>
            </w:r>
          </w:p>
        </w:tc>
        <w:tc>
          <w:tcPr>
            <w:tcW w:type="dxa" w:w="612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公正取引委員会、中小企業庁、政府広報、e-Gov法令検索（取適法＝中小受託取引適正化法）</w:t>
            </w:r>
          </w:p>
        </w:tc>
      </w:tr>
    </w:tbl>
    <w:sectPr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color w:val="5B6B7B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37A75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Q%1."/>
      <w:lvlJc w:val="left"/>
      <w:pPr>
        <w:ind w:left="560" w:hanging="5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1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取適法 研修実施ガイド</dc:title>
  <dc:creator>Legal GPT</dc:creator>
  <dc:description>取適法 社内研修資料 第17回</dc:description>
  <cp:lastModifiedBy>Un-named</cp:lastModifiedBy>
  <cp:revision>1</cp:revision>
  <dcterms:created xsi:type="dcterms:W3CDTF">2026-06-23T03:41:44.793Z</dcterms:created>
  <dcterms:modified xsi:type="dcterms:W3CDTF">2026-06-23T03:41:44.793Z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