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6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1"/>
          <w:szCs w:val="21"/>
        </w:rPr>
        <w:t xml:space="preserve">第18回　</w:t>
      </w: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1"/>
          <w:szCs w:val="21"/>
        </w:rPr>
        <w:t xml:space="preserve">フリーランス法研修</w:t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34"/>
          <w:szCs w:val="34"/>
        </w:rPr>
        <w:t xml:space="preserve">フリーランス法 ケースワークブック</w:t>
      </w:r>
    </w:p>
    <w:p>
      <w:pPr>
        <w:spacing w:after="8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43B53"/>
          <w:sz w:val="22"/>
          <w:szCs w:val="22"/>
        </w:rPr>
        <w:t xml:space="preserve">8ケースで「発注してよいか・支払・やり直し・解除・相談」を考える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none"/>
              <w:left w:val="none"/>
              <w:bottom w:val="none"/>
              <w:right w:val="none"/>
            </w:tcBorders>
            <w:shd w:fill="16314F" w:val="clear"/>
            <w:tcMar>
              <w:top w:type="dxa" w:w="90"/>
              <w:left w:type="dxa" w:w="150"/>
              <w:bottom w:type="dxa" w:w="90"/>
              <w:right w:type="dxa" w:w="150"/>
            </w:tcMar>
          </w:tcPr>
          <w:p>
            <w:pPr>
              <w:spacing w:after="3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19"/>
                <w:szCs w:val="19"/>
              </w:rPr>
              <w:t xml:space="preserve">対象：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全社員・発注担当者・管理職</w:t>
            </w:r>
          </w:p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19"/>
                <w:szCs w:val="19"/>
              </w:rPr>
              <w:t xml:space="preserve">法令・制度基準日：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2026年6月18日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DCE6F0"/>
                <w:sz w:val="18"/>
                <w:szCs w:val="18"/>
              </w:rPr>
              <w:t xml:space="preserve">　　会社名／実施日／講師名：【要記入】</w:t>
            </w:r>
          </w:p>
        </w:tc>
      </w:tr>
    </w:tbl>
    <w:p>
      <w:pPr>
        <w:spacing w:after="60" w:before="90" w:line="264"/>
      </w:pPr>
      <w:r>
        <w:rPr>
          <w:rFonts w:ascii="Meiryo" w:cs="Meiryo" w:eastAsia="Meiryo" w:hAnsi="Meiryo"/>
          <w:b w:val="false"/>
          <w:bCs w:val="false"/>
          <w:i/>
          <w:iCs/>
          <w:color w:val="5B6770"/>
          <w:sz w:val="17"/>
          <w:szCs w:val="17"/>
        </w:rPr>
        <w:t xml:space="preserve">本資料はフリーランス法対応の出発点です。フリーランス法該当性・違反該当性・労働者性・行政対応の最終判断は、社内規程及び法務・人事・購買・経理・コンプライアンス・専門家への相談を前提としてください。</w:t>
      </w:r>
    </w:p>
    <w:p>
      <w:pPr>
        <w:pBdr>
          <w:bottom w:val="single" w:color="B58A3A" w:sz="8" w:space="4"/>
        </w:pBd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進め方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各ケースの状況を読み、記入欄に自分の考えを書きます（個人→グループの順がおすすめ）。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正解を1つに決めることが目的ではありません。確認すべきこと・してはいけないこと・誰に相談するかを言語化します。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解説は確認テスト解答集・スライドを参照してください。該当性・違反該当性・労働者性は独断しないこと。</w:t>
            </w:r>
          </w:p>
        </w:tc>
      </w:tr>
    </w:tbl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ケース1　取引条件をメールで曖昧に発注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マーケティング担当者が、個人デザイナーに「今月中にLPデザインをお願いします。金額はいつもの感じで」とメールだけで依頼した。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報酬額・納期・検収・修正回数・支払期日は明確にしていない。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取引条件明示（第3条）。スライド10・11・26、解答集 問の取引条件明示。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ケース2　検収遅れで報酬支払が遅れる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動画制作を依頼したフリーランスから成果物が納品されたが、社内確認が遅れている。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担当者は「検収が終わっていないので支払は先延ばしでよい」と考えている。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報酬支払期日・60日（第4条）。スライド12・27。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ケース3　追加修正を無償で求める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発注時に修正回数や仕様を明確にしていなかった。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納品後、担当者が「イメージと違うので、追加費用なしで全面修正してください」と依頼しようとしている。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不当な給付内容変更・やり直し（第5条）。スライド20・28。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ケース4　募集情報と実際の条件が違う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SNSで「完全在宅、月20万円程度、週2日相当」として業務委託先を募集した。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実際には毎日のオンライン朝会参加・日中の即時対応・月10万円程度の報酬を予定していた。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募集情報の的確表示（第12条）・労働者性。スライド21・29。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ケース5　ハラスメント相談を受けた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フリーランスのライターから、担当社員の深夜連絡・人格否定・納品物と関係ない容姿への発言について相談があった。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現場責任者は「業務委託なので社内のハラスメント窓口では扱わない」と考えている。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ハラスメント対策（第14条）。スライド22・30、第5・6回。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ケース6　6か月以上の契約を突然終了する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半年以上継続しているコンサルタントとの業務委託について、担当者が「来週で契約終了です」と突然伝えようとしている。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契約書上はいつでも終了できる条項がある。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中途解除・不更新の予告・理由開示（第16条）。スライド24・31。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ケース7　実態が労働者に近い働かせ方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個人エンジニアに業務委託しているが、会社が勤務時間・勤務場所・作業手順を細かく指定している。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上司の指揮命令の下で、社員と同じように働かせている。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労働者性・業務委託と雇用の違い。スライド8・32。</w:t>
      </w:r>
    </w:p>
    <w:p>
      <w:pPr>
        <w:pStyle w:val="Heading1"/>
        <w:keepNext/>
        <w:keepLines/>
        <w:pBdr>
          <w:bottom w:val="single" w:color="B58A3A" w:sz="14" w:space="4"/>
        </w:pBdr>
        <w:spacing w:after="120" w:before="220"/>
      </w:pPr>
      <w:r>
        <w:rPr>
          <w:rFonts w:ascii="Meiryo" w:cs="Meiryo" w:eastAsia="Meiryo" w:hAnsi="Meiryo"/>
          <w:b/>
          <w:bCs/>
          <w:i w:val="false"/>
          <w:iCs w:val="false"/>
          <w:color w:val="16314F"/>
          <w:sz w:val="28"/>
          <w:szCs w:val="28"/>
        </w:rPr>
        <w:t xml:space="preserve">ケース8　元委託者からの入金遅れを理由に支払延期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237A75" w:sz="6"/>
              <w:left w:val="single" w:color="237A75" w:sz="18"/>
              <w:bottom w:val="single" w:color="237A75" w:sz="6"/>
              <w:right w:val="single" w:color="237A75" w:sz="6"/>
            </w:tcBorders>
            <w:shd w:fill="E3EFEE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37A75"/>
                <w:sz w:val="21"/>
                <w:szCs w:val="21"/>
              </w:rPr>
              <w:t xml:space="preserve">状況</w:t>
            </w:r>
          </w:p>
          <w:p>
            <w:pPr>
              <w:spacing w:after="5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自社が元委託者から受けた案件をフリーランスに再委託している。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元委託者からの入金が遅れているため、担当者はフリーランスへの報酬支払も遅らせようとしている。</w:t>
            </w:r>
          </w:p>
        </w:tc>
      </w:tr>
    </w:tbl>
    <w:p>
      <w:pPr>
        <w:pStyle w:val="Heading2"/>
        <w:keepNext/>
        <w:keepLines/>
        <w:spacing w:after="80" w:before="170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23"/>
          <w:szCs w:val="23"/>
        </w:rPr>
        <w:t xml:space="preserve">検討（記入欄）</w:t>
      </w:r>
    </w:p>
    <w:tbl>
      <w:tblPr>
        <w:tblW w:type="dxa" w:w="9638"/>
        <w:tblBorders>
          <w:top w:val="single" w:color="C9D2DA" w:sz="4"/>
          <w:left w:val="single" w:color="C9D2DA" w:sz="4"/>
          <w:bottom w:val="single" w:color="C9D2DA" w:sz="4"/>
          <w:right w:val="single" w:color="C9D2DA" w:sz="4"/>
          <w:insideH w:val="single" w:color="C9D2DA" w:sz="4"/>
          <w:insideV w:val="single" w:color="C9D2DA" w:sz="4"/>
        </w:tblBorders>
      </w:tblPr>
      <w:tblGrid>
        <w:gridCol w:w="3100"/>
        <w:gridCol w:w="6538"/>
      </w:tblGrid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対象取引に当たり得るか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（1か月以上／6か月以上の別も）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関係する義務・禁止行為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協議・記録・承認の要否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就業環境整備上の対応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募集情報／配慮／ハラスメント等</w:t>
            </w:r>
          </w:p>
        </w:tc>
      </w:tr>
      <w:tr>
        <w:tc>
          <w:tcPr>
            <w:tcW w:type="dxa" w:w="3100"/>
            <w:shd w:fill="EEF2F6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243B53"/>
                <w:sz w:val="19"/>
                <w:szCs w:val="19"/>
              </w:rPr>
              <w:t xml:space="preserve">報告・相談先</w:t>
            </w:r>
          </w:p>
        </w:tc>
        <w:tc>
          <w:tcPr>
            <w:tcW w:type="dxa" w:w="6538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before="0" w:line="2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770"/>
                <w:sz w:val="18"/>
                <w:szCs w:val="18"/>
              </w:rPr>
              <w:t xml:space="preserve">法務／人事／購買／経理 等</w:t>
            </w:r>
          </w:p>
        </w:tc>
      </w:tr>
    </w:tbl>
    <w:p>
      <w:pPr>
        <w:spacing w:after="4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何が問題か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発注前に確認すべきこと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発注後にしてはいけないこと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既に起きた場合の初動／証拠として残すべきもの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現場が独断してはいけないこと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再発防止策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40" w:before="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9"/>
          <w:szCs w:val="19"/>
        </w:rPr>
        <w:t xml:space="preserve">グループ討議メモ</w:t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Bdr>
          <w:bottom w:val="single" w:color="C9D2DA" w:sz="4" w:space="2"/>
        </w:pBdr>
        <w:spacing w:after="1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0" w:before="30" w:line="264"/>
      </w:pPr>
      <w:r>
        <w:rPr>
          <w:rFonts w:ascii="Meiryo" w:cs="Meiryo" w:eastAsia="Meiryo" w:hAnsi="Meiryo"/>
          <w:b/>
          <w:bCs/>
          <w:i w:val="false"/>
          <w:iCs w:val="false"/>
          <w:color w:val="243B53"/>
          <w:sz w:val="18"/>
          <w:szCs w:val="18"/>
        </w:rPr>
        <w:t xml:space="preserve">講師解説参照： </w:t>
      </w:r>
      <w:r>
        <w:rPr>
          <w:rFonts w:ascii="Meiryo" w:cs="Meiryo" w:eastAsia="Meiryo" w:hAnsi="Meiryo"/>
          <w:b w:val="false"/>
          <w:bCs w:val="false"/>
          <w:i w:val="false"/>
          <w:iCs w:val="false"/>
          <w:color w:val="5B6770"/>
          <w:sz w:val="18"/>
          <w:szCs w:val="18"/>
        </w:rPr>
        <w:t xml:space="preserve">報酬支払期日・再委託の例外（第4条）。スライド12・13。</w:t>
      </w:r>
    </w:p>
    <w:p>
      <w:pPr>
        <w:spacing w:after="120" w:before="0" w:line="264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c>
          <w:tcPr>
            <w:tcW w:type="dxa" w:w="9638"/>
            <w:tcBorders>
              <w:top w:val="single" w:color="B58A3A" w:sz="6"/>
              <w:left w:val="single" w:color="B58A3A" w:sz="18"/>
              <w:bottom w:val="single" w:color="B58A3A" w:sz="6"/>
              <w:right w:val="single" w:color="B58A3A" w:sz="6"/>
            </w:tcBorders>
            <w:shd w:fill="F5EEDF" w:val="clear"/>
            <w:tcMar>
              <w:top w:type="dxa" w:w="110"/>
              <w:left w:type="dxa" w:w="160"/>
              <w:bottom w:type="dxa" w:w="110"/>
              <w:right w:type="dxa" w:w="160"/>
            </w:tcMar>
          </w:tcPr>
          <w:p>
            <w:pPr>
              <w:spacing w:after="60" w:before="0" w:line="264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58A3A"/>
                <w:sz w:val="21"/>
                <w:szCs w:val="21"/>
              </w:rPr>
              <w:t xml:space="preserve">注意</w:t>
            </w:r>
          </w:p>
          <w:p>
            <w:pPr>
              <w:spacing w:after="0" w:before="0" w:line="264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本ケースは学習用の架空事例です。実在の個人・取引先・案件・媒体とは関係ありません。自社化する際は固有名を避け、社内規程・関係部門の確認を前提としてください。</w:t>
            </w:r>
          </w:p>
        </w:tc>
      </w:tr>
    </w:tbl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A" w:sz="4" w:space="4"/>
      </w:pBdr>
      <w:tabs>
        <w:tab w:val="right" w:pos="9638"/>
      </w:tabs>
    </w:pPr>
    <w:r>
      <w:rPr>
        <w:rFonts w:ascii="Meiryo" w:cs="Meiryo" w:eastAsia="Meiryo" w:hAnsi="Meiryo"/>
        <w:b w:val="false"/>
        <w:bCs w:val="false"/>
        <w:i w:val="false"/>
        <w:iCs w:val="false"/>
        <w:color w:val="5B6770"/>
        <w:sz w:val="15"/>
        <w:szCs w:val="15"/>
      </w:rPr>
      <w:t xml:space="preserve">Legal GPT｜第18回 フリーランス法研修　ケースワークブック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770"/>
        <w:sz w:val="15"/>
        <w:szCs w:val="15"/>
      </w:rPr>
      <w:t xml:space="preserve"/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color w:val="B58A3A"/>
      </w:rPr>
    </w:lvl>
    <w:lvl w:ilvl="1" w15:tentative="1">
      <w:start w:val="1"/>
      <w:numFmt w:val="bullet"/>
      <w:lvlText w:val="‒"/>
      <w:lvlJc w:val="left"/>
      <w:pPr>
        <w:ind w:left="88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60" w:hanging="300"/>
      </w:pPr>
      <w:rPr>
        <w:color w:val="243B53"/>
      </w:r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70" w:hanging="33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70" w:hanging="33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20"/>
      <w:outlineLvl w:val="0"/>
    </w:pPr>
    <w:rPr>
      <w:rFonts w:ascii="Meiryo" w:cs="Meiryo" w:eastAsia="Meiryo" w:hAnsi="Meiryo"/>
      <w:b/>
      <w:bCs/>
      <w:color w:val="16314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70"/>
      <w:outlineLvl w:val="1"/>
    </w:pPr>
    <w:rPr>
      <w:rFonts w:ascii="Meiryo" w:cs="Meiryo" w:eastAsia="Meiryo" w:hAnsi="Meiryo"/>
      <w:b/>
      <w:bCs/>
      <w:color w:val="243B53"/>
      <w:sz w:val="23"/>
      <w:szCs w:val="23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Meiryo" w:cs="Meiryo" w:eastAsia="Meiryo" w:hAnsi="Meiryo"/>
      <w:b/>
      <w:bCs/>
      <w:color w:val="237A75"/>
      <w:sz w:val="21"/>
      <w:szCs w:val="21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2026-06-23T04:27:49.236Z</dcterms:created>
  <dcterms:modified xsi:type="dcterms:W3CDTF">2026-06-23T04:27:49.237Z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