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before="0" w:line="264"/>
      </w:pPr>
      <w:r>
        <w:rPr>
          <w:rFonts w:ascii="Meiryo" w:cs="Meiryo" w:eastAsia="Meiryo" w:hAnsi="Meiryo"/>
          <w:b/>
          <w:bCs/>
          <w:i w:val="false"/>
          <w:iCs w:val="false"/>
          <w:color w:val="B58A3A"/>
          <w:sz w:val="19"/>
          <w:szCs w:val="19"/>
        </w:rPr>
        <w:t xml:space="preserve">法務・総務のための社内研修資料20選</w:t>
      </w:r>
    </w:p>
    <w:p>
      <w:pPr>
        <w:spacing w:after="60" w:before="0" w:line="264"/>
      </w:pPr>
      <w:r>
        <w:rPr>
          <w:rFonts w:ascii="Meiryo" w:cs="Meiryo" w:eastAsia="Meiryo" w:hAnsi="Meiryo"/>
          <w:b/>
          <w:bCs/>
          <w:i w:val="false"/>
          <w:iCs w:val="false"/>
          <w:color w:val="16314F"/>
          <w:sz w:val="21"/>
          <w:szCs w:val="21"/>
        </w:rPr>
        <w:t xml:space="preserve">第18回　</w:t>
      </w:r>
      <w:r>
        <w:rPr>
          <w:rFonts w:ascii="Meiryo" w:cs="Meiryo" w:eastAsia="Meiryo" w:hAnsi="Meiryo"/>
          <w:b/>
          <w:bCs/>
          <w:i w:val="false"/>
          <w:iCs w:val="false"/>
          <w:color w:val="243B53"/>
          <w:sz w:val="21"/>
          <w:szCs w:val="21"/>
        </w:rPr>
        <w:t xml:space="preserve">フリーランス法研修</w:t>
      </w:r>
    </w:p>
    <w:p>
      <w:pPr>
        <w:spacing w:after="40" w:before="0" w:line="264"/>
      </w:pPr>
      <w:r>
        <w:rPr>
          <w:rFonts w:ascii="Meiryo" w:cs="Meiryo" w:eastAsia="Meiryo" w:hAnsi="Meiryo"/>
          <w:b/>
          <w:bCs/>
          <w:i w:val="false"/>
          <w:iCs w:val="false"/>
          <w:color w:val="16314F"/>
          <w:sz w:val="34"/>
          <w:szCs w:val="34"/>
        </w:rPr>
        <w:t xml:space="preserve">フリーランス法ハンドブック</w:t>
      </w:r>
    </w:p>
    <w:p>
      <w:pPr>
        <w:spacing w:after="80" w:before="0" w:line="264"/>
      </w:pPr>
      <w:r>
        <w:rPr>
          <w:rFonts w:ascii="Meiryo" w:cs="Meiryo" w:eastAsia="Meiryo" w:hAnsi="Meiryo"/>
          <w:b w:val="false"/>
          <w:bCs w:val="false"/>
          <w:i w:val="false"/>
          <w:iCs w:val="false"/>
          <w:color w:val="243B53"/>
          <w:sz w:val="22"/>
          <w:szCs w:val="22"/>
        </w:rPr>
        <w:t xml:space="preserve">全社員・発注担当者のための基礎と実務</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none"/>
              <w:left w:val="none"/>
              <w:bottom w:val="none"/>
              <w:right w:val="none"/>
            </w:tcBorders>
            <w:shd w:fill="16314F" w:val="clear"/>
            <w:tcMar>
              <w:top w:type="dxa" w:w="90"/>
              <w:left w:type="dxa" w:w="150"/>
              <w:bottom w:type="dxa" w:w="90"/>
              <w:right w:type="dxa" w:w="150"/>
            </w:tcMar>
          </w:tcPr>
          <w:p>
            <w:pPr>
              <w:spacing w:after="30" w:before="0" w:line="240"/>
            </w:pPr>
            <w:r>
              <w:rPr>
                <w:rFonts w:ascii="Meiryo" w:cs="Meiryo" w:eastAsia="Meiryo" w:hAnsi="Meiryo"/>
                <w:b/>
                <w:bCs/>
                <w:i w:val="false"/>
                <w:iCs w:val="false"/>
                <w:color w:val="B58A3A"/>
                <w:sz w:val="19"/>
                <w:szCs w:val="19"/>
              </w:rPr>
              <w:t xml:space="preserve">対象： </w:t>
            </w:r>
            <w:r>
              <w:rPr>
                <w:rFonts w:ascii="Meiryo" w:cs="Meiryo" w:eastAsia="Meiryo" w:hAnsi="Meiryo"/>
                <w:b w:val="false"/>
                <w:bCs w:val="false"/>
                <w:i w:val="false"/>
                <w:iCs w:val="false"/>
                <w:color w:val="FFFFFF"/>
                <w:sz w:val="19"/>
                <w:szCs w:val="19"/>
              </w:rPr>
              <w:t xml:space="preserve">全社員・発注担当者・管理職</w:t>
            </w:r>
          </w:p>
          <w:p>
            <w:pPr>
              <w:spacing w:after="0" w:before="0" w:line="240"/>
            </w:pPr>
            <w:r>
              <w:rPr>
                <w:rFonts w:ascii="Meiryo" w:cs="Meiryo" w:eastAsia="Meiryo" w:hAnsi="Meiryo"/>
                <w:b/>
                <w:bCs/>
                <w:i w:val="false"/>
                <w:iCs w:val="false"/>
                <w:color w:val="B58A3A"/>
                <w:sz w:val="19"/>
                <w:szCs w:val="19"/>
              </w:rPr>
              <w:t xml:space="preserve">法令・制度基準日： </w:t>
            </w:r>
            <w:r>
              <w:rPr>
                <w:rFonts w:ascii="Meiryo" w:cs="Meiryo" w:eastAsia="Meiryo" w:hAnsi="Meiryo"/>
                <w:b w:val="false"/>
                <w:bCs w:val="false"/>
                <w:i w:val="false"/>
                <w:iCs w:val="false"/>
                <w:color w:val="FFFFFF"/>
                <w:sz w:val="19"/>
                <w:szCs w:val="19"/>
              </w:rPr>
              <w:t xml:space="preserve">2026年6月18日</w:t>
            </w:r>
            <w:r>
              <w:rPr>
                <w:rFonts w:ascii="Meiryo" w:cs="Meiryo" w:eastAsia="Meiryo" w:hAnsi="Meiryo"/>
                <w:b w:val="false"/>
                <w:bCs w:val="false"/>
                <w:i w:val="false"/>
                <w:iCs w:val="false"/>
                <w:color w:val="DCE6F0"/>
                <w:sz w:val="18"/>
                <w:szCs w:val="18"/>
              </w:rPr>
              <w:t xml:space="preserve">　　会社名／実施日／講師名：【要記入】</w:t>
            </w:r>
          </w:p>
        </w:tc>
      </w:tr>
    </w:tbl>
    <w:p>
      <w:pPr>
        <w:spacing w:after="60" w:before="90" w:line="264"/>
      </w:pPr>
      <w:r>
        <w:rPr>
          <w:rFonts w:ascii="Meiryo" w:cs="Meiryo" w:eastAsia="Meiryo" w:hAnsi="Meiryo"/>
          <w:b w:val="false"/>
          <w:bCs w:val="false"/>
          <w:i/>
          <w:iCs/>
          <w:color w:val="5B6770"/>
          <w:sz w:val="17"/>
          <w:szCs w:val="17"/>
        </w:rPr>
        <w:t xml:space="preserve">本資料はフリーランス法対応の出発点です。フリーランス法該当性・違反該当性・労働者性・行政対応の最終判断は、社内規程及び法務・人事・購買・経理・コンプライアンス・専門家への相談を前提としてください。</w:t>
      </w:r>
    </w:p>
    <w:p>
      <w:pPr>
        <w:pBdr>
          <w:bottom w:val="single" w:color="B58A3A" w:sz="8" w:space="4"/>
        </w:pBdr>
        <w:spacing w:after="120"/>
      </w:pPr>
      <w:r>
        <w:rPr>
          <w:rFonts w:ascii="Meiryo" w:cs="Meiryo" w:eastAsia="Meiryo" w:hAnsi="Meiryo"/>
          <w:b w:val="false"/>
          <w:bCs w:val="false"/>
          <w:i w:val="false"/>
          <w:iCs w:val="false"/>
          <w:color w:val="263238"/>
          <w:sz w:val="21"/>
          <w:szCs w:val="21"/>
        </w:rPr>
        <w:t xml:space="preserve"/>
      </w:r>
    </w:p>
    <w:p>
      <w:pPr>
        <w:pStyle w:val="Heading2"/>
        <w:keepNext/>
        <w:keepLines/>
        <w:spacing w:after="80" w:before="170"/>
      </w:pPr>
      <w:r>
        <w:rPr>
          <w:rFonts w:ascii="Meiryo" w:cs="Meiryo" w:eastAsia="Meiryo" w:hAnsi="Meiryo"/>
          <w:b/>
          <w:bCs/>
          <w:i w:val="false"/>
          <w:iCs w:val="false"/>
          <w:color w:val="243B53"/>
          <w:sz w:val="23"/>
          <w:szCs w:val="23"/>
        </w:rPr>
        <w:t xml:space="preserve">本書の構成</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1. フリーランス法とは</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2. 対象者と用語</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3. 業務委託契約と労働者性</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4. 取引の適正化（取引条件明示・60日支払・再委託の例外・禁止行為）</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5. 就業環境の整備（募集情報・育児介護等配慮・ハラスメント・解除予告）</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6. 問題を見つけたときの初動</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7. 自社の相談先（要記入）</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8. 発注のながれと各段階の注意</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9. よくあるQ&amp;A</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10. 発注前セルフチェック（10問）</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237A75" w:sz="6"/>
              <w:left w:val="single" w:color="237A75" w:sz="18"/>
              <w:bottom w:val="single" w:color="237A75" w:sz="6"/>
              <w:right w:val="single" w:color="237A75" w:sz="6"/>
            </w:tcBorders>
            <w:shd w:fill="E3EFEE" w:val="clear"/>
            <w:tcMar>
              <w:top w:type="dxa" w:w="110"/>
              <w:left w:type="dxa" w:w="160"/>
              <w:bottom w:type="dxa" w:w="110"/>
              <w:right w:type="dxa" w:w="160"/>
            </w:tcMar>
          </w:tcPr>
          <w:p>
            <w:pPr>
              <w:spacing w:after="60" w:before="0" w:line="264"/>
            </w:pPr>
            <w:r>
              <w:rPr>
                <w:rFonts w:ascii="Meiryo" w:cs="Meiryo" w:eastAsia="Meiryo" w:hAnsi="Meiryo"/>
                <w:b/>
                <w:bCs/>
                <w:i w:val="false"/>
                <w:iCs w:val="false"/>
                <w:color w:val="237A75"/>
                <w:sz w:val="21"/>
                <w:szCs w:val="21"/>
              </w:rPr>
              <w:t xml:space="preserve">本書の使い方</w:t>
            </w:r>
          </w:p>
          <w:p>
            <w:pPr>
              <w:spacing w:after="50" w:before="0" w:line="264"/>
            </w:pPr>
            <w:r>
              <w:rPr>
                <w:rFonts w:ascii="Meiryo" w:cs="Meiryo" w:eastAsia="Meiryo" w:hAnsi="Meiryo"/>
                <w:b w:val="false"/>
                <w:bCs w:val="false"/>
                <w:i w:val="false"/>
                <w:iCs w:val="false"/>
                <w:color w:val="263238"/>
                <w:sz w:val="20"/>
                <w:szCs w:val="20"/>
              </w:rPr>
              <w:t xml:space="preserve">発注・募集・支払・相談に関わる方は、自分の業務に関係する章から確認してください。</w:t>
            </w:r>
          </w:p>
          <w:p>
            <w:pPr>
              <w:spacing w:after="0" w:before="0" w:line="264"/>
            </w:pPr>
            <w:r>
              <w:rPr>
                <w:rFonts w:ascii="Meiryo" w:cs="Meiryo" w:eastAsia="Meiryo" w:hAnsi="Meiryo"/>
                <w:b w:val="false"/>
                <w:bCs w:val="false"/>
                <w:i w:val="false"/>
                <w:iCs w:val="false"/>
                <w:color w:val="263238"/>
                <w:sz w:val="20"/>
                <w:szCs w:val="20"/>
              </w:rPr>
              <w:t xml:space="preserve">本書はフリーランスへの発注を一律に避けるためのものではありません。安心して適正に発注するための基礎です。</w:t>
            </w:r>
          </w:p>
        </w:tc>
      </w:tr>
    </w:tbl>
    <w:p>
      <w:pPr>
        <w:pStyle w:val="Heading1"/>
        <w:keepNext/>
        <w:keepLines/>
        <w:pBdr>
          <w:bottom w:val="single" w:color="B58A3A" w:sz="14" w:space="4"/>
        </w:pBdr>
        <w:spacing w:after="120" w:before="220"/>
      </w:pPr>
      <w:r>
        <w:rPr>
          <w:rFonts w:ascii="Meiryo" w:cs="Meiryo" w:eastAsia="Meiryo" w:hAnsi="Meiryo"/>
          <w:b/>
          <w:bCs/>
          <w:i w:val="false"/>
          <w:iCs w:val="false"/>
          <w:color w:val="16314F"/>
          <w:sz w:val="28"/>
          <w:szCs w:val="28"/>
        </w:rPr>
        <w:t xml:space="preserve">1. フリーランス法とは</w:t>
      </w:r>
    </w:p>
    <w:p>
      <w:pPr>
        <w:spacing w:after="90" w:before="0" w:line="264"/>
      </w:pPr>
      <w:r>
        <w:rPr>
          <w:rFonts w:ascii="Meiryo" w:cs="Meiryo" w:eastAsia="Meiryo" w:hAnsi="Meiryo"/>
          <w:b w:val="false"/>
          <w:bCs w:val="false"/>
          <w:i w:val="false"/>
          <w:iCs w:val="false"/>
          <w:color w:val="263238"/>
          <w:sz w:val="21"/>
          <w:szCs w:val="21"/>
        </w:rPr>
        <w:t xml:space="preserve">正式名称は</w:t>
      </w:r>
      <w:r>
        <w:rPr>
          <w:rFonts w:ascii="Meiryo" w:cs="Meiryo" w:eastAsia="Meiryo" w:hAnsi="Meiryo"/>
          <w:b/>
          <w:bCs/>
          <w:i w:val="false"/>
          <w:iCs w:val="false"/>
          <w:color w:val="16314F"/>
          <w:sz w:val="21"/>
          <w:szCs w:val="21"/>
        </w:rPr>
        <w:t xml:space="preserve">「特定受託事業者に係る取引の適正化等に関する法律」</w:t>
      </w:r>
      <w:r>
        <w:rPr>
          <w:rFonts w:ascii="Meiryo" w:cs="Meiryo" w:eastAsia="Meiryo" w:hAnsi="Meiryo"/>
          <w:b w:val="false"/>
          <w:bCs w:val="false"/>
          <w:i w:val="false"/>
          <w:iCs w:val="false"/>
          <w:color w:val="263238"/>
          <w:sz w:val="21"/>
          <w:szCs w:val="21"/>
        </w:rPr>
        <w:t xml:space="preserve">（通称：フリーランス・事業者間取引適正化等法／フリーランス法）です。令和5年4月成立・5月公布、</w:t>
      </w:r>
      <w:r>
        <w:rPr>
          <w:rFonts w:ascii="Meiryo" w:cs="Meiryo" w:eastAsia="Meiryo" w:hAnsi="Meiryo"/>
          <w:b/>
          <w:bCs/>
          <w:i w:val="false"/>
          <w:iCs w:val="false"/>
          <w:color w:val="237A75"/>
          <w:sz w:val="21"/>
          <w:szCs w:val="21"/>
        </w:rPr>
        <w:t xml:space="preserve">令和6年（2024年）11月1日に施行</w:t>
      </w:r>
      <w:r>
        <w:rPr>
          <w:rFonts w:ascii="Meiryo" w:cs="Meiryo" w:eastAsia="Meiryo" w:hAnsi="Meiryo"/>
          <w:b w:val="false"/>
          <w:bCs w:val="false"/>
          <w:i w:val="false"/>
          <w:iCs w:val="false"/>
          <w:color w:val="263238"/>
          <w:sz w:val="21"/>
          <w:szCs w:val="21"/>
        </w:rPr>
        <w:t xml:space="preserve">されました。</w:t>
      </w:r>
    </w:p>
    <w:p>
      <w:pPr>
        <w:spacing w:after="90" w:before="0" w:line="264"/>
      </w:pPr>
      <w:r>
        <w:rPr>
          <w:rFonts w:ascii="Meiryo" w:cs="Meiryo" w:eastAsia="Meiryo" w:hAnsi="Meiryo"/>
          <w:b w:val="false"/>
          <w:bCs w:val="false"/>
          <w:i w:val="false"/>
          <w:iCs w:val="false"/>
          <w:color w:val="263238"/>
          <w:sz w:val="21"/>
          <w:szCs w:val="21"/>
        </w:rPr>
        <w:t xml:space="preserve">個人として業務委託を受けるフリーランスと発注事業者との取引について、(1)取引の適正化と(2)就業環境の整備を図ることを目的とします。資本金の額にかかわらず、従業員を使用する発注事業者が広く対象です。取引適正化は主に公正取引委員会・中小企業庁が、就業環境整備は主に厚生労働省が執行を担います。</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237A75" w:sz="6"/>
              <w:left w:val="single" w:color="237A75" w:sz="18"/>
              <w:bottom w:val="single" w:color="237A75" w:sz="6"/>
              <w:right w:val="single" w:color="237A75" w:sz="6"/>
            </w:tcBorders>
            <w:shd w:fill="E3EFEE" w:val="clear"/>
            <w:tcMar>
              <w:top w:type="dxa" w:w="110"/>
              <w:left w:type="dxa" w:w="160"/>
              <w:bottom w:type="dxa" w:w="110"/>
              <w:right w:type="dxa" w:w="160"/>
            </w:tcMar>
          </w:tcPr>
          <w:p>
            <w:pPr>
              <w:spacing w:after="60" w:before="0" w:line="264"/>
            </w:pPr>
            <w:r>
              <w:rPr>
                <w:rFonts w:ascii="Meiryo" w:cs="Meiryo" w:eastAsia="Meiryo" w:hAnsi="Meiryo"/>
                <w:b/>
                <w:bCs/>
                <w:i w:val="false"/>
                <w:iCs w:val="false"/>
                <w:color w:val="237A75"/>
                <w:sz w:val="21"/>
                <w:szCs w:val="21"/>
              </w:rPr>
              <w:t xml:space="preserve">発注担当者だけの問題ではありません</w:t>
            </w:r>
          </w:p>
          <w:p>
            <w:pPr>
              <w:spacing w:after="0" w:before="0" w:line="264"/>
            </w:pPr>
            <w:r>
              <w:rPr>
                <w:rFonts w:ascii="Meiryo" w:cs="Meiryo" w:eastAsia="Meiryo" w:hAnsi="Meiryo"/>
                <w:b w:val="false"/>
                <w:bCs w:val="false"/>
                <w:i w:val="false"/>
                <w:iCs w:val="false"/>
                <w:color w:val="263238"/>
                <w:sz w:val="20"/>
                <w:szCs w:val="20"/>
              </w:rPr>
              <w:t xml:space="preserve">人事・採用、経理・支払、広報・SNS運用、制作・編集・デザイン、情報システム、マーケティング、コンサル発注なども関係します。</w:t>
            </w:r>
          </w:p>
        </w:tc>
      </w:tr>
    </w:tbl>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B58A3A" w:sz="6"/>
              <w:left w:val="single" w:color="B58A3A" w:sz="18"/>
              <w:bottom w:val="single" w:color="B58A3A" w:sz="6"/>
              <w:right w:val="single" w:color="B58A3A" w:sz="6"/>
            </w:tcBorders>
            <w:shd w:fill="F5EEDF" w:val="clear"/>
            <w:tcMar>
              <w:top w:type="dxa" w:w="110"/>
              <w:left w:type="dxa" w:w="160"/>
              <w:bottom w:type="dxa" w:w="110"/>
              <w:right w:type="dxa" w:w="160"/>
            </w:tcMar>
          </w:tcPr>
          <w:p>
            <w:pPr>
              <w:spacing w:after="60" w:before="0" w:line="264"/>
            </w:pPr>
            <w:r>
              <w:rPr>
                <w:rFonts w:ascii="Meiryo" w:cs="Meiryo" w:eastAsia="Meiryo" w:hAnsi="Meiryo"/>
                <w:b/>
                <w:bCs/>
                <w:i w:val="false"/>
                <w:iCs w:val="false"/>
                <w:color w:val="B58A3A"/>
                <w:sz w:val="21"/>
                <w:szCs w:val="21"/>
              </w:rPr>
              <w:t xml:space="preserve">資本金にかかわらず対象になり得ます</w:t>
            </w:r>
          </w:p>
          <w:p>
            <w:pPr>
              <w:spacing w:after="50" w:before="0" w:line="264"/>
            </w:pPr>
            <w:r>
              <w:rPr>
                <w:rFonts w:ascii="Meiryo" w:cs="Meiryo" w:eastAsia="Meiryo" w:hAnsi="Meiryo"/>
                <w:b w:val="false"/>
                <w:bCs w:val="false"/>
                <w:i w:val="false"/>
                <w:iCs w:val="false"/>
                <w:color w:val="263238"/>
                <w:sz w:val="20"/>
                <w:szCs w:val="20"/>
              </w:rPr>
              <w:t xml:space="preserve">取適法（旧下請法）と異なり、フリーランス法には発注者側の資本金要件がありません。従業員を1人でも使用していれば「特定業務委託事業者」として、取引条件明示や支払期日規制等の対象になり得ます。</w:t>
            </w:r>
          </w:p>
          <w:p>
            <w:pPr>
              <w:spacing w:after="0" w:before="0" w:line="264"/>
            </w:pPr>
            <w:r>
              <w:rPr>
                <w:rFonts w:ascii="Meiryo" w:cs="Meiryo" w:eastAsia="Meiryo" w:hAnsi="Meiryo"/>
                <w:b w:val="false"/>
                <w:bCs w:val="false"/>
                <w:i w:val="false"/>
                <w:iCs w:val="false"/>
                <w:color w:val="263238"/>
                <w:sz w:val="20"/>
                <w:szCs w:val="20"/>
              </w:rPr>
              <w:t xml:space="preserve">資本金基準を満たす発注者が個人フリーランスに情報成果物等を発注する場合は、取適法とフリーランス法の双方が関係し得ます。取引適正化の部分は取適法が優先的に適用・執行され、就業環境整備（募集・配慮・ハラスメント・解除予告）はフリーランス法が及びます。適用関係の詳細は法務に確認してください（取適法の詳細は第17回）。</w:t>
            </w:r>
          </w:p>
        </w:tc>
      </w:tr>
    </w:tbl>
    <w:p>
      <w:pPr>
        <w:pStyle w:val="Heading1"/>
        <w:keepNext/>
        <w:keepLines/>
        <w:pBdr>
          <w:bottom w:val="single" w:color="B58A3A" w:sz="14" w:space="4"/>
        </w:pBdr>
        <w:spacing w:after="120" w:before="220"/>
      </w:pPr>
      <w:r>
        <w:rPr>
          <w:rFonts w:ascii="Meiryo" w:cs="Meiryo" w:eastAsia="Meiryo" w:hAnsi="Meiryo"/>
          <w:b/>
          <w:bCs/>
          <w:i w:val="false"/>
          <w:iCs w:val="false"/>
          <w:color w:val="16314F"/>
          <w:sz w:val="28"/>
          <w:szCs w:val="28"/>
        </w:rPr>
        <w:t xml:space="preserve">2. 対象者と用語</w:t>
      </w:r>
    </w:p>
    <w:tbl>
      <w:tblPr>
        <w:tblW w:type="dxa" w:w="9638"/>
        <w:tblBorders>
          <w:top w:val="single" w:color="C9D2DA" w:sz="4"/>
          <w:left w:val="single" w:color="C9D2DA" w:sz="4"/>
          <w:bottom w:val="single" w:color="C9D2DA" w:sz="4"/>
          <w:right w:val="single" w:color="C9D2DA" w:sz="4"/>
          <w:insideH w:val="single" w:color="C9D2DA" w:sz="4"/>
          <w:insideV w:val="single" w:color="C9D2DA" w:sz="4"/>
        </w:tblBorders>
      </w:tblPr>
      <w:tblGrid>
        <w:gridCol w:w="2900"/>
        <w:gridCol w:w="6738"/>
      </w:tblGrid>
      <w:tr>
        <w:trPr>
          <w:tblHeader/>
        </w:trPr>
        <w:tc>
          <w:tcPr>
            <w:tcW w:type="dxa" w:w="2900"/>
            <w:shd w:fill="16314F" w:val="clear"/>
            <w:tcMar>
              <w:top w:type="dxa" w:w="60"/>
              <w:left w:type="dxa" w:w="110"/>
              <w:bottom w:type="dxa" w:w="60"/>
              <w:right w:type="dxa" w:w="110"/>
            </w:tcMar>
            <w:vAlign w:val="center"/>
          </w:tcPr>
          <w:p>
            <w:pPr>
              <w:spacing w:after="0" w:before="0" w:line="240"/>
              <w:jc w:val="center"/>
            </w:pPr>
            <w:r>
              <w:rPr>
                <w:rFonts w:ascii="Meiryo" w:cs="Meiryo" w:eastAsia="Meiryo" w:hAnsi="Meiryo"/>
                <w:b/>
                <w:bCs/>
                <w:i w:val="false"/>
                <w:iCs w:val="false"/>
                <w:color w:val="FFFFFF"/>
                <w:sz w:val="19"/>
                <w:szCs w:val="19"/>
              </w:rPr>
              <w:t xml:space="preserve">用語</w:t>
            </w:r>
          </w:p>
        </w:tc>
        <w:tc>
          <w:tcPr>
            <w:tcW w:type="dxa" w:w="6738"/>
            <w:shd w:fill="16314F" w:val="clear"/>
            <w:tcMar>
              <w:top w:type="dxa" w:w="60"/>
              <w:left w:type="dxa" w:w="110"/>
              <w:bottom w:type="dxa" w:w="60"/>
              <w:right w:type="dxa" w:w="110"/>
            </w:tcMar>
            <w:vAlign w:val="center"/>
          </w:tcPr>
          <w:p>
            <w:pPr>
              <w:spacing w:after="0" w:before="0" w:line="240"/>
              <w:jc w:val="center"/>
            </w:pPr>
            <w:r>
              <w:rPr>
                <w:rFonts w:ascii="Meiryo" w:cs="Meiryo" w:eastAsia="Meiryo" w:hAnsi="Meiryo"/>
                <w:b/>
                <w:bCs/>
                <w:i w:val="false"/>
                <w:iCs w:val="false"/>
                <w:color w:val="FFFFFF"/>
                <w:sz w:val="19"/>
                <w:szCs w:val="19"/>
              </w:rPr>
              <w:t xml:space="preserve">意味</w:t>
            </w:r>
          </w:p>
        </w:tc>
      </w:tr>
      <w:tr>
        <w:tc>
          <w:tcPr>
            <w:tcW w:type="dxa" w:w="2900"/>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9"/>
                <w:szCs w:val="19"/>
              </w:rPr>
              <w:t xml:space="preserve">特定受託事業者（フリーランス）</w:t>
            </w:r>
          </w:p>
        </w:tc>
        <w:tc>
          <w:tcPr>
            <w:tcW w:type="dxa" w:w="6738"/>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9"/>
                <w:szCs w:val="19"/>
              </w:rPr>
              <w:t xml:space="preserve">業務委託の相手方の事業者で、①個人で従業員を使用しない、又は②法人で代表者以外に役員がなく従業員を使用しないもの。</w:t>
            </w:r>
          </w:p>
        </w:tc>
      </w:tr>
      <w:tr>
        <w:tc>
          <w:tcPr>
            <w:tcW w:type="dxa" w:w="2900"/>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9"/>
                <w:szCs w:val="19"/>
              </w:rPr>
              <w:t xml:space="preserve">特定受託業務従事者</w:t>
            </w:r>
          </w:p>
        </w:tc>
        <w:tc>
          <w:tcPr>
            <w:tcW w:type="dxa" w:w="6738"/>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9"/>
                <w:szCs w:val="19"/>
              </w:rPr>
              <w:t xml:space="preserve">①の個人本人、又は②の法人の代表者。ハラスメント対策（第14条）の保護対象。</w:t>
            </w:r>
          </w:p>
        </w:tc>
      </w:tr>
      <w:tr>
        <w:tc>
          <w:tcPr>
            <w:tcW w:type="dxa" w:w="2900"/>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9"/>
                <w:szCs w:val="19"/>
              </w:rPr>
              <w:t xml:space="preserve">業務委託事業者</w:t>
            </w:r>
          </w:p>
        </w:tc>
        <w:tc>
          <w:tcPr>
            <w:tcW w:type="dxa" w:w="6738"/>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9"/>
                <w:szCs w:val="19"/>
              </w:rPr>
              <w:t xml:space="preserve">フリーランスに業務委託をする事業者。</w:t>
            </w:r>
          </w:p>
        </w:tc>
      </w:tr>
      <w:tr>
        <w:tc>
          <w:tcPr>
            <w:tcW w:type="dxa" w:w="2900"/>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9"/>
                <w:szCs w:val="19"/>
              </w:rPr>
              <w:t xml:space="preserve">特定業務委託事業者</w:t>
            </w:r>
          </w:p>
        </w:tc>
        <w:tc>
          <w:tcPr>
            <w:tcW w:type="dxa" w:w="6738"/>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9"/>
                <w:szCs w:val="19"/>
              </w:rPr>
              <w:t xml:space="preserve">フリーランスに委託する事業者で、従業員を使用する、又は法人で役員が2名以上のもの。多くの義務の名宛人。</w:t>
            </w:r>
          </w:p>
        </w:tc>
      </w:tr>
    </w:tbl>
    <w:p>
      <w:pPr>
        <w:spacing w:after="90" w:before="80" w:line="264"/>
      </w:pPr>
      <w:r>
        <w:rPr>
          <w:rFonts w:ascii="Meiryo" w:cs="Meiryo" w:eastAsia="Meiryo" w:hAnsi="Meiryo"/>
          <w:b/>
          <w:bCs/>
          <w:i w:val="false"/>
          <w:iCs w:val="false"/>
          <w:color w:val="263238"/>
          <w:sz w:val="21"/>
          <w:szCs w:val="21"/>
        </w:rPr>
        <w:t xml:space="preserve">「従業員を使用」</w:t>
      </w:r>
      <w:r>
        <w:rPr>
          <w:rFonts w:ascii="Meiryo" w:cs="Meiryo" w:eastAsia="Meiryo" w:hAnsi="Meiryo"/>
          <w:b w:val="false"/>
          <w:bCs w:val="false"/>
          <w:i w:val="false"/>
          <w:iCs w:val="false"/>
          <w:color w:val="263238"/>
          <w:sz w:val="21"/>
          <w:szCs w:val="21"/>
        </w:rPr>
        <w:t xml:space="preserve">とは、週の所定労働時間が20時間以上かつ31日以上の雇用が見込まれる労働者を雇用すること（労働者派遣の派遣先として受け入れる場合も含む）。事業に同居親族のみを使用する場合は含まれません。</w:t>
      </w:r>
    </w:p>
    <w:p>
      <w:pPr>
        <w:spacing w:after="90" w:before="0" w:line="264"/>
      </w:pPr>
      <w:r>
        <w:rPr>
          <w:rFonts w:ascii="Meiryo" w:cs="Meiryo" w:eastAsia="Meiryo" w:hAnsi="Meiryo"/>
          <w:b/>
          <w:bCs/>
          <w:i w:val="false"/>
          <w:iCs w:val="false"/>
          <w:color w:val="16314F"/>
          <w:sz w:val="21"/>
          <w:szCs w:val="21"/>
        </w:rPr>
        <w:t xml:space="preserve">副業として個人で業務を受ける人も、事業者として受託していれば特定受託事業者に該当し得ます。</w:t>
      </w:r>
      <w:r>
        <w:rPr>
          <w:rFonts w:ascii="Meiryo" w:cs="Meiryo" w:eastAsia="Meiryo" w:hAnsi="Meiryo"/>
          <w:b w:val="false"/>
          <w:bCs w:val="false"/>
          <w:i w:val="false"/>
          <w:iCs w:val="false"/>
          <w:color w:val="263238"/>
          <w:sz w:val="21"/>
          <w:szCs w:val="21"/>
        </w:rPr>
        <w:t xml:space="preserve">対象該当性の最終判断は現場だけで行わず、迷う場合は法務・人事・購買へ確認してください。</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237A75" w:sz="6"/>
              <w:left w:val="single" w:color="237A75" w:sz="18"/>
              <w:bottom w:val="single" w:color="237A75" w:sz="6"/>
              <w:right w:val="single" w:color="237A75" w:sz="6"/>
            </w:tcBorders>
            <w:shd w:fill="E3EFEE" w:val="clear"/>
            <w:tcMar>
              <w:top w:type="dxa" w:w="110"/>
              <w:left w:type="dxa" w:w="160"/>
              <w:bottom w:type="dxa" w:w="110"/>
              <w:right w:type="dxa" w:w="160"/>
            </w:tcMar>
          </w:tcPr>
          <w:p>
            <w:pPr>
              <w:spacing w:after="60" w:before="0" w:line="264"/>
            </w:pPr>
            <w:r>
              <w:rPr>
                <w:rFonts w:ascii="Meiryo" w:cs="Meiryo" w:eastAsia="Meiryo" w:hAnsi="Meiryo"/>
                <w:b/>
                <w:bCs/>
                <w:i w:val="false"/>
                <w:iCs w:val="false"/>
                <w:color w:val="237A75"/>
                <w:sz w:val="21"/>
                <w:szCs w:val="21"/>
              </w:rPr>
              <w:t xml:space="preserve">発注者区分と期間で義務の内容が異なります</w:t>
            </w:r>
          </w:p>
          <w:p>
            <w:pPr>
              <w:spacing w:after="50" w:before="0" w:line="264"/>
            </w:pPr>
            <w:r>
              <w:rPr>
                <w:rFonts w:ascii="Meiryo" w:cs="Meiryo" w:eastAsia="Meiryo" w:hAnsi="Meiryo"/>
                <w:b w:val="false"/>
                <w:bCs w:val="false"/>
                <w:i w:val="false"/>
                <w:iCs w:val="false"/>
                <w:color w:val="263238"/>
                <w:sz w:val="20"/>
                <w:szCs w:val="20"/>
              </w:rPr>
              <w:t xml:space="preserve">フリーランス法上の義務は、発注者が「業務委託事業者」か「特定業務委託事業者」か、また業務委託期間が1か月以上・6か月以上かによって異なります。</w:t>
            </w:r>
          </w:p>
          <w:p>
            <w:pPr>
              <w:spacing w:after="0" w:before="0" w:line="264"/>
            </w:pPr>
            <w:r>
              <w:rPr>
                <w:rFonts w:ascii="Meiryo" w:cs="Meiryo" w:eastAsia="Meiryo" w:hAnsi="Meiryo"/>
                <w:b w:val="false"/>
                <w:bCs w:val="false"/>
                <w:i w:val="false"/>
                <w:iCs w:val="false"/>
                <w:color w:val="263238"/>
                <w:sz w:val="20"/>
                <w:szCs w:val="20"/>
              </w:rPr>
              <w:t xml:space="preserve">発注担当者は、自社がどの区分に当たり得るか、対象期間がどの程度かを現場だけで断定せず、法務・人事・購買へ確認してください。</w:t>
            </w:r>
          </w:p>
        </w:tc>
      </w:tr>
    </w:tbl>
    <w:p>
      <w:pPr>
        <w:pStyle w:val="Heading1"/>
        <w:keepNext/>
        <w:keepLines/>
        <w:pBdr>
          <w:bottom w:val="single" w:color="B58A3A" w:sz="14" w:space="4"/>
        </w:pBdr>
        <w:spacing w:after="120" w:before="220"/>
      </w:pPr>
      <w:r>
        <w:rPr>
          <w:rFonts w:ascii="Meiryo" w:cs="Meiryo" w:eastAsia="Meiryo" w:hAnsi="Meiryo"/>
          <w:b/>
          <w:bCs/>
          <w:i w:val="false"/>
          <w:iCs w:val="false"/>
          <w:color w:val="16314F"/>
          <w:sz w:val="28"/>
          <w:szCs w:val="28"/>
        </w:rPr>
        <w:t xml:space="preserve">3. 業務委託契約と労働者性</w:t>
      </w:r>
    </w:p>
    <w:p>
      <w:pPr>
        <w:spacing w:after="90" w:before="0" w:line="264"/>
      </w:pPr>
      <w:r>
        <w:rPr>
          <w:rFonts w:ascii="Meiryo" w:cs="Meiryo" w:eastAsia="Meiryo" w:hAnsi="Meiryo"/>
          <w:b w:val="false"/>
          <w:bCs w:val="false"/>
          <w:i w:val="false"/>
          <w:iCs w:val="false"/>
          <w:color w:val="263238"/>
          <w:sz w:val="21"/>
          <w:szCs w:val="21"/>
        </w:rPr>
        <w:t xml:space="preserve">形式上は業務委託契約でも、実態によっては労働基準法上の労働者と判断される場合があります。その場合は労働関係法令が適用され、フリーランス法は適用されません。</w:t>
      </w:r>
    </w:p>
    <w:p>
      <w:pPr>
        <w:spacing w:after="90" w:before="0" w:line="264"/>
      </w:pPr>
      <w:r>
        <w:rPr>
          <w:rFonts w:ascii="Meiryo" w:cs="Meiryo" w:eastAsia="Meiryo" w:hAnsi="Meiryo"/>
          <w:b w:val="false"/>
          <w:bCs w:val="false"/>
          <w:i w:val="false"/>
          <w:iCs w:val="false"/>
          <w:color w:val="263238"/>
          <w:sz w:val="21"/>
          <w:szCs w:val="21"/>
        </w:rPr>
        <w:t xml:space="preserve">勤務時間・場所の強い拘束、作業手順への細かな指揮命令、本人による代替（再委託）の不可、報酬の労務対価性、専属性などが、労働者性を基礎づける要素として問題になり得ます。</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B42318" w:sz="6"/>
              <w:left w:val="single" w:color="B42318" w:sz="18"/>
              <w:bottom w:val="single" w:color="B42318" w:sz="6"/>
              <w:right w:val="single" w:color="B42318" w:sz="6"/>
            </w:tcBorders>
            <w:shd w:fill="FBE9E7" w:val="clear"/>
            <w:tcMar>
              <w:top w:type="dxa" w:w="110"/>
              <w:left w:type="dxa" w:w="160"/>
              <w:bottom w:type="dxa" w:w="110"/>
              <w:right w:type="dxa" w:w="160"/>
            </w:tcMar>
          </w:tcPr>
          <w:p>
            <w:pPr>
              <w:spacing w:after="60" w:before="0" w:line="264"/>
            </w:pPr>
            <w:r>
              <w:rPr>
                <w:rFonts w:ascii="Meiryo" w:cs="Meiryo" w:eastAsia="Meiryo" w:hAnsi="Meiryo"/>
                <w:b/>
                <w:bCs/>
                <w:i w:val="false"/>
                <w:iCs w:val="false"/>
                <w:color w:val="B42318"/>
                <w:sz w:val="21"/>
                <w:szCs w:val="21"/>
              </w:rPr>
              <w:t xml:space="preserve">誤解に注意</w:t>
            </w:r>
          </w:p>
          <w:p>
            <w:pPr>
              <w:spacing w:after="0" w:before="0" w:line="264"/>
            </w:pPr>
            <w:r>
              <w:rPr>
                <w:rFonts w:ascii="Meiryo" w:cs="Meiryo" w:eastAsia="Meiryo" w:hAnsi="Meiryo"/>
                <w:b w:val="false"/>
                <w:bCs w:val="false"/>
                <w:i w:val="false"/>
                <w:iCs w:val="false"/>
                <w:color w:val="263238"/>
                <w:sz w:val="20"/>
                <w:szCs w:val="20"/>
              </w:rPr>
              <w:t xml:space="preserve">「フリーランス法を守れば労働者性の問題は必ずなくなる」とはいえません。雇用に近い働かせ方をしていないか確認し、迷えば人事・法務へ相談してください。</w:t>
            </w:r>
          </w:p>
        </w:tc>
      </w:tr>
    </w:tbl>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B58A3A" w:sz="6"/>
              <w:left w:val="single" w:color="B58A3A" w:sz="18"/>
              <w:bottom w:val="single" w:color="B58A3A" w:sz="6"/>
              <w:right w:val="single" w:color="B58A3A" w:sz="6"/>
            </w:tcBorders>
            <w:shd w:fill="F5EEDF" w:val="clear"/>
            <w:tcMar>
              <w:top w:type="dxa" w:w="110"/>
              <w:left w:type="dxa" w:w="160"/>
              <w:bottom w:type="dxa" w:w="110"/>
              <w:right w:type="dxa" w:w="160"/>
            </w:tcMar>
          </w:tcPr>
          <w:p>
            <w:pPr>
              <w:spacing w:after="60" w:before="0" w:line="264"/>
            </w:pPr>
            <w:r>
              <w:rPr>
                <w:rFonts w:ascii="Meiryo" w:cs="Meiryo" w:eastAsia="Meiryo" w:hAnsi="Meiryo"/>
                <w:b/>
                <w:bCs/>
                <w:i w:val="false"/>
                <w:iCs w:val="false"/>
                <w:color w:val="B58A3A"/>
                <w:sz w:val="21"/>
                <w:szCs w:val="21"/>
              </w:rPr>
              <w:t xml:space="preserve">配慮義務と指揮命令の境界線</w:t>
            </w:r>
          </w:p>
          <w:p>
            <w:pPr>
              <w:spacing w:after="50" w:before="0" w:line="264"/>
            </w:pPr>
            <w:r>
              <w:rPr>
                <w:rFonts w:ascii="Meiryo" w:cs="Meiryo" w:eastAsia="Meiryo" w:hAnsi="Meiryo"/>
                <w:b w:val="false"/>
                <w:bCs w:val="false"/>
                <w:i w:val="false"/>
                <w:iCs w:val="false"/>
                <w:color w:val="263238"/>
                <w:sz w:val="20"/>
                <w:szCs w:val="20"/>
              </w:rPr>
              <w:t xml:space="preserve">育児介護等の配慮（第13条）を行う際、稼働時間や作業手順を社内管理者が細かく指定・管理しすぎると、かえって「雇用（労働者）」とみなされる方向の事情になり得ます。</w:t>
            </w:r>
          </w:p>
          <w:p>
            <w:pPr>
              <w:spacing w:after="0" w:before="0" w:line="264"/>
            </w:pPr>
            <w:r>
              <w:rPr>
                <w:rFonts w:ascii="Meiryo" w:cs="Meiryo" w:eastAsia="Meiryo" w:hAnsi="Meiryo"/>
                <w:b w:val="false"/>
                <w:bCs w:val="false"/>
                <w:i w:val="false"/>
                <w:iCs w:val="false"/>
                <w:color w:val="263238"/>
                <w:sz w:val="20"/>
                <w:szCs w:val="20"/>
              </w:rPr>
              <w:t xml:space="preserve">配慮は「納期の調整」や「業務プロセスのオンライン化」など事業者間の取引条件の変更にとどめ、時間的拘束や指揮命令に踏み込まないよう注意します。逆に、3条通知の即時交付やハラスメント相談窓口の明確な案内を淡々と履行している事実は、独立した事業者として適正に扱っている証拠になり得ます。</w:t>
            </w:r>
          </w:p>
        </w:tc>
      </w:tr>
    </w:tbl>
    <w:p>
      <w:pPr>
        <w:pStyle w:val="Heading1"/>
        <w:keepNext/>
        <w:keepLines/>
        <w:pBdr>
          <w:bottom w:val="single" w:color="B58A3A" w:sz="14" w:space="4"/>
        </w:pBdr>
        <w:spacing w:after="120" w:before="220"/>
      </w:pPr>
      <w:r>
        <w:rPr>
          <w:rFonts w:ascii="Meiryo" w:cs="Meiryo" w:eastAsia="Meiryo" w:hAnsi="Meiryo"/>
          <w:b/>
          <w:bCs/>
          <w:i w:val="false"/>
          <w:iCs w:val="false"/>
          <w:color w:val="16314F"/>
          <w:sz w:val="28"/>
          <w:szCs w:val="28"/>
        </w:rPr>
        <w:t xml:space="preserve">4. 取引の適正化（発注時のルール）</w:t>
      </w:r>
    </w:p>
    <w:p>
      <w:pPr>
        <w:pStyle w:val="Heading2"/>
        <w:keepNext/>
        <w:keepLines/>
        <w:spacing w:after="80" w:before="170"/>
      </w:pPr>
      <w:r>
        <w:rPr>
          <w:rFonts w:ascii="Meiryo" w:cs="Meiryo" w:eastAsia="Meiryo" w:hAnsi="Meiryo"/>
          <w:b/>
          <w:bCs/>
          <w:i w:val="false"/>
          <w:iCs w:val="false"/>
          <w:color w:val="243B53"/>
          <w:sz w:val="23"/>
          <w:szCs w:val="23"/>
        </w:rPr>
        <w:t xml:space="preserve">4-1. 取引条件の明示（第3条）</w:t>
      </w:r>
    </w:p>
    <w:p>
      <w:pPr>
        <w:spacing w:after="90" w:before="0" w:line="264"/>
      </w:pPr>
      <w:r>
        <w:rPr>
          <w:rFonts w:ascii="Meiryo" w:cs="Meiryo" w:eastAsia="Meiryo" w:hAnsi="Meiryo"/>
          <w:b w:val="false"/>
          <w:bCs w:val="false"/>
          <w:i w:val="false"/>
          <w:iCs w:val="false"/>
          <w:color w:val="263238"/>
          <w:sz w:val="21"/>
          <w:szCs w:val="21"/>
        </w:rPr>
        <w:t xml:space="preserve">業務委託をしたら直ちに、書面又は電磁的方法（メール等）で取引条件を明示します。口頭の合意だけでは足りません。明示すべき主な事項は次のとおりです。</w:t>
      </w:r>
    </w:p>
    <w:p>
      <w:pPr>
        <w:pStyle w:val="ListParagraph"/>
        <w:numPr>
          <w:ilvl w:val="0"/>
          <w:numId w:val="3"/>
        </w:numPr>
        <w:spacing w:after="50" w:line="256"/>
      </w:pPr>
      <w:r>
        <w:rPr>
          <w:rFonts w:ascii="Meiryo" w:cs="Meiryo" w:eastAsia="Meiryo" w:hAnsi="Meiryo"/>
          <w:b w:val="false"/>
          <w:bCs w:val="false"/>
          <w:i w:val="false"/>
          <w:iCs w:val="false"/>
          <w:color w:val="263238"/>
          <w:sz w:val="21"/>
          <w:szCs w:val="21"/>
        </w:rPr>
        <w:t xml:space="preserve">発注事業者及び特定受託事業者（フリーランス）の名称</w:t>
      </w:r>
    </w:p>
    <w:p>
      <w:pPr>
        <w:pStyle w:val="ListParagraph"/>
        <w:numPr>
          <w:ilvl w:val="0"/>
          <w:numId w:val="3"/>
        </w:numPr>
        <w:spacing w:after="50" w:line="256"/>
      </w:pPr>
      <w:r>
        <w:rPr>
          <w:rFonts w:ascii="Meiryo" w:cs="Meiryo" w:eastAsia="Meiryo" w:hAnsi="Meiryo"/>
          <w:b w:val="false"/>
          <w:bCs w:val="false"/>
          <w:i w:val="false"/>
          <w:iCs w:val="false"/>
          <w:color w:val="263238"/>
          <w:sz w:val="21"/>
          <w:szCs w:val="21"/>
        </w:rPr>
        <w:t xml:space="preserve">業務委託をした日</w:t>
      </w:r>
    </w:p>
    <w:p>
      <w:pPr>
        <w:pStyle w:val="ListParagraph"/>
        <w:numPr>
          <w:ilvl w:val="0"/>
          <w:numId w:val="3"/>
        </w:numPr>
        <w:spacing w:after="50" w:line="256"/>
      </w:pPr>
      <w:r>
        <w:rPr>
          <w:rFonts w:ascii="Meiryo" w:cs="Meiryo" w:eastAsia="Meiryo" w:hAnsi="Meiryo"/>
          <w:b w:val="false"/>
          <w:bCs w:val="false"/>
          <w:i w:val="false"/>
          <w:iCs w:val="false"/>
          <w:color w:val="263238"/>
          <w:sz w:val="21"/>
          <w:szCs w:val="21"/>
        </w:rPr>
        <w:t xml:space="preserve">給付・役務の内容（知的財産権の譲渡・許諾の範囲を含む）</w:t>
      </w:r>
    </w:p>
    <w:p>
      <w:pPr>
        <w:pStyle w:val="ListParagraph"/>
        <w:numPr>
          <w:ilvl w:val="0"/>
          <w:numId w:val="3"/>
        </w:numPr>
        <w:spacing w:after="50" w:line="256"/>
      </w:pPr>
      <w:r>
        <w:rPr>
          <w:rFonts w:ascii="Meiryo" w:cs="Meiryo" w:eastAsia="Meiryo" w:hAnsi="Meiryo"/>
          <w:b w:val="false"/>
          <w:bCs w:val="false"/>
          <w:i w:val="false"/>
          <w:iCs w:val="false"/>
          <w:color w:val="263238"/>
          <w:sz w:val="21"/>
          <w:szCs w:val="21"/>
        </w:rPr>
        <w:t xml:space="preserve">給付を受領し、又は役務の提供を受ける期日（納期）</w:t>
      </w:r>
    </w:p>
    <w:p>
      <w:pPr>
        <w:pStyle w:val="ListParagraph"/>
        <w:numPr>
          <w:ilvl w:val="0"/>
          <w:numId w:val="3"/>
        </w:numPr>
        <w:spacing w:after="50" w:line="256"/>
      </w:pPr>
      <w:r>
        <w:rPr>
          <w:rFonts w:ascii="Meiryo" w:cs="Meiryo" w:eastAsia="Meiryo" w:hAnsi="Meiryo"/>
          <w:b w:val="false"/>
          <w:bCs w:val="false"/>
          <w:i w:val="false"/>
          <w:iCs w:val="false"/>
          <w:color w:val="263238"/>
          <w:sz w:val="21"/>
          <w:szCs w:val="21"/>
        </w:rPr>
        <w:t xml:space="preserve">給付を受領し、又は役務の提供を受ける場所</w:t>
      </w:r>
    </w:p>
    <w:p>
      <w:pPr>
        <w:pStyle w:val="ListParagraph"/>
        <w:numPr>
          <w:ilvl w:val="0"/>
          <w:numId w:val="3"/>
        </w:numPr>
        <w:spacing w:after="50" w:line="256"/>
      </w:pPr>
      <w:r>
        <w:rPr>
          <w:rFonts w:ascii="Meiryo" w:cs="Meiryo" w:eastAsia="Meiryo" w:hAnsi="Meiryo"/>
          <w:b w:val="false"/>
          <w:bCs w:val="false"/>
          <w:i w:val="false"/>
          <w:iCs w:val="false"/>
          <w:color w:val="263238"/>
          <w:sz w:val="21"/>
          <w:szCs w:val="21"/>
        </w:rPr>
        <w:t xml:space="preserve">検査をする場合は検査を完了する期日</w:t>
      </w:r>
    </w:p>
    <w:p>
      <w:pPr>
        <w:pStyle w:val="ListParagraph"/>
        <w:numPr>
          <w:ilvl w:val="0"/>
          <w:numId w:val="3"/>
        </w:numPr>
        <w:spacing w:after="50" w:line="256"/>
      </w:pPr>
      <w:r>
        <w:rPr>
          <w:rFonts w:ascii="Meiryo" w:cs="Meiryo" w:eastAsia="Meiryo" w:hAnsi="Meiryo"/>
          <w:b w:val="false"/>
          <w:bCs w:val="false"/>
          <w:i w:val="false"/>
          <w:iCs w:val="false"/>
          <w:color w:val="263238"/>
          <w:sz w:val="21"/>
          <w:szCs w:val="21"/>
        </w:rPr>
        <w:t xml:space="preserve">報酬の額及び支払期日</w:t>
      </w:r>
    </w:p>
    <w:p>
      <w:pPr>
        <w:pStyle w:val="ListParagraph"/>
        <w:numPr>
          <w:ilvl w:val="0"/>
          <w:numId w:val="3"/>
        </w:numPr>
        <w:spacing w:after="50" w:line="256"/>
      </w:pPr>
      <w:r>
        <w:rPr>
          <w:rFonts w:ascii="Meiryo" w:cs="Meiryo" w:eastAsia="Meiryo" w:hAnsi="Meiryo"/>
          <w:b w:val="false"/>
          <w:bCs w:val="false"/>
          <w:i w:val="false"/>
          <w:iCs w:val="false"/>
          <w:color w:val="263238"/>
          <w:sz w:val="21"/>
          <w:szCs w:val="21"/>
        </w:rPr>
        <w:t xml:space="preserve">金銭以外の方法で報酬を支払う場合はその支払方法に関する事項</w:t>
      </w:r>
    </w:p>
    <w:p>
      <w:pPr>
        <w:spacing w:after="90" w:before="60" w:line="264"/>
      </w:pPr>
      <w:r>
        <w:rPr>
          <w:rFonts w:ascii="Meiryo" w:cs="Meiryo" w:eastAsia="Meiryo" w:hAnsi="Meiryo"/>
          <w:b/>
          <w:bCs/>
          <w:i w:val="false"/>
          <w:iCs w:val="false"/>
          <w:color w:val="B58A3A"/>
          <w:sz w:val="21"/>
          <w:szCs w:val="21"/>
        </w:rPr>
        <w:t xml:space="preserve">補足：</w:t>
      </w:r>
      <w:r>
        <w:rPr>
          <w:rFonts w:ascii="Meiryo" w:cs="Meiryo" w:eastAsia="Meiryo" w:hAnsi="Meiryo"/>
          <w:b w:val="false"/>
          <w:bCs w:val="false"/>
          <w:i w:val="false"/>
          <w:iCs w:val="false"/>
          <w:color w:val="263238"/>
          <w:sz w:val="21"/>
          <w:szCs w:val="21"/>
        </w:rPr>
        <w:t xml:space="preserve">具体的金額が困難なやむを得ない事情があるときは算定方法の明示も可（確定後は速やかに金額を明示）。再委託の例外を使う場合は別途の追加明示が必要です（4-3）。経費負担・修正対応・変更時の協議方法も定めておくと安全です。</w:t>
      </w:r>
    </w:p>
    <w:p>
      <w:pPr>
        <w:pStyle w:val="Heading2"/>
        <w:keepNext/>
        <w:keepLines/>
        <w:spacing w:after="80" w:before="170"/>
      </w:pPr>
      <w:r>
        <w:rPr>
          <w:rFonts w:ascii="Meiryo" w:cs="Meiryo" w:eastAsia="Meiryo" w:hAnsi="Meiryo"/>
          <w:b/>
          <w:bCs/>
          <w:i w:val="false"/>
          <w:iCs w:val="false"/>
          <w:color w:val="243B53"/>
          <w:sz w:val="23"/>
          <w:szCs w:val="23"/>
        </w:rPr>
        <w:t xml:space="preserve">4-2. 報酬支払期日・60日以内支払（第4条）</w:t>
      </w:r>
    </w:p>
    <w:p>
      <w:pPr>
        <w:spacing w:after="90" w:before="0" w:line="264"/>
      </w:pPr>
      <w:r>
        <w:rPr>
          <w:rFonts w:ascii="Meiryo" w:cs="Meiryo" w:eastAsia="Meiryo" w:hAnsi="Meiryo"/>
          <w:b/>
          <w:bCs/>
          <w:i w:val="false"/>
          <w:iCs w:val="false"/>
          <w:color w:val="16314F"/>
          <w:sz w:val="21"/>
          <w:szCs w:val="21"/>
        </w:rPr>
        <w:t xml:space="preserve">給付を受領した日（役務提供を受けた日）から起算して60日以内のできる限り短い期間内に支払期日を定め、その期日までに支払います。</w:t>
      </w:r>
      <w:r>
        <w:rPr>
          <w:rFonts w:ascii="Meiryo" w:cs="Meiryo" w:eastAsia="Meiryo" w:hAnsi="Meiryo"/>
          <w:b w:val="false"/>
          <w:bCs w:val="false"/>
          <w:i w:val="false"/>
          <w:iCs w:val="false"/>
          <w:color w:val="263238"/>
          <w:sz w:val="21"/>
          <w:szCs w:val="21"/>
        </w:rPr>
        <w:t xml:space="preserve">支払期日を定めなかった場合や60日を超える期日を定めた場合は、受領日（又は受領日から60日を経過した日）が支払期日とみなされます。</w:t>
      </w:r>
    </w:p>
    <w:p>
      <w:pPr>
        <w:pStyle w:val="ListParagraph"/>
        <w:numPr>
          <w:ilvl w:val="0"/>
          <w:numId w:val="2"/>
        </w:numPr>
        <w:spacing w:after="50" w:line="252"/>
      </w:pPr>
      <w:r>
        <w:rPr>
          <w:rFonts w:ascii="Meiryo" w:cs="Meiryo" w:eastAsia="Meiryo" w:hAnsi="Meiryo"/>
          <w:b w:val="false"/>
          <w:bCs w:val="false"/>
          <w:i w:val="false"/>
          <w:iCs w:val="false"/>
          <w:color w:val="263238"/>
          <w:sz w:val="21"/>
          <w:szCs w:val="21"/>
        </w:rPr>
        <w:t xml:space="preserve">「受領後60日以内」など、具体的な支払日が特定できない表現は避けます。</w:t>
      </w:r>
    </w:p>
    <w:p>
      <w:pPr>
        <w:pStyle w:val="ListParagraph"/>
        <w:numPr>
          <w:ilvl w:val="0"/>
          <w:numId w:val="2"/>
        </w:numPr>
        <w:spacing w:after="50" w:line="252"/>
      </w:pPr>
      <w:r>
        <w:rPr>
          <w:rFonts w:ascii="Meiryo" w:cs="Meiryo" w:eastAsia="Meiryo" w:hAnsi="Meiryo"/>
          <w:b w:val="false"/>
          <w:bCs w:val="false"/>
          <w:i w:val="false"/>
          <w:iCs w:val="false"/>
          <w:color w:val="263238"/>
          <w:sz w:val="21"/>
          <w:szCs w:val="21"/>
        </w:rPr>
        <w:t xml:space="preserve">毎月締め翌月払い等の月単位の締切制度でも、60日以内に収まるよう運用します。</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B42318" w:sz="6"/>
              <w:left w:val="single" w:color="B42318" w:sz="18"/>
              <w:bottom w:val="single" w:color="B42318" w:sz="6"/>
              <w:right w:val="single" w:color="B42318" w:sz="6"/>
            </w:tcBorders>
            <w:shd w:fill="FBE9E7" w:val="clear"/>
            <w:tcMar>
              <w:top w:type="dxa" w:w="110"/>
              <w:left w:type="dxa" w:w="160"/>
              <w:bottom w:type="dxa" w:w="110"/>
              <w:right w:type="dxa" w:w="160"/>
            </w:tcMar>
          </w:tcPr>
          <w:p>
            <w:pPr>
              <w:spacing w:after="60" w:before="0" w:line="264"/>
            </w:pPr>
            <w:r>
              <w:rPr>
                <w:rFonts w:ascii="Meiryo" w:cs="Meiryo" w:eastAsia="Meiryo" w:hAnsi="Meiryo"/>
                <w:b/>
                <w:bCs/>
                <w:i w:val="false"/>
                <w:iCs w:val="false"/>
                <w:color w:val="B42318"/>
                <w:sz w:val="21"/>
                <w:szCs w:val="21"/>
              </w:rPr>
              <w:t xml:space="preserve">これらは支払を遅らせる正当な理由になりません</w:t>
            </w:r>
          </w:p>
          <w:p>
            <w:pPr>
              <w:spacing w:after="50" w:before="0" w:line="264"/>
            </w:pPr>
            <w:r>
              <w:rPr>
                <w:rFonts w:ascii="Meiryo" w:cs="Meiryo" w:eastAsia="Meiryo" w:hAnsi="Meiryo"/>
                <w:b w:val="false"/>
                <w:bCs w:val="false"/>
                <w:i w:val="false"/>
                <w:iCs w:val="false"/>
                <w:color w:val="263238"/>
                <w:sz w:val="20"/>
                <w:szCs w:val="20"/>
              </w:rPr>
              <w:t xml:space="preserve">請求書が届いていない</w:t>
            </w:r>
          </w:p>
          <w:p>
            <w:pPr>
              <w:spacing w:after="50" w:before="0" w:line="264"/>
            </w:pPr>
            <w:r>
              <w:rPr>
                <w:rFonts w:ascii="Meiryo" w:cs="Meiryo" w:eastAsia="Meiryo" w:hAnsi="Meiryo"/>
                <w:b w:val="false"/>
                <w:bCs w:val="false"/>
                <w:i w:val="false"/>
                <w:iCs w:val="false"/>
                <w:color w:val="263238"/>
                <w:sz w:val="20"/>
                <w:szCs w:val="20"/>
              </w:rPr>
              <w:t xml:space="preserve">社内の検収・承認が遅れている</w:t>
            </w:r>
          </w:p>
          <w:p>
            <w:pPr>
              <w:spacing w:after="0" w:before="0" w:line="264"/>
            </w:pPr>
            <w:r>
              <w:rPr>
                <w:rFonts w:ascii="Meiryo" w:cs="Meiryo" w:eastAsia="Meiryo" w:hAnsi="Meiryo"/>
                <w:b w:val="false"/>
                <w:bCs w:val="false"/>
                <w:i w:val="false"/>
                <w:iCs w:val="false"/>
                <w:color w:val="263238"/>
                <w:sz w:val="20"/>
                <w:szCs w:val="20"/>
              </w:rPr>
              <w:t xml:space="preserve">元委託者からの入金が遅れている</w:t>
            </w:r>
          </w:p>
        </w:tc>
      </w:tr>
    </w:tbl>
    <w:p>
      <w:pPr>
        <w:pStyle w:val="Heading2"/>
        <w:keepNext/>
        <w:keepLines/>
        <w:spacing w:after="80" w:before="170"/>
      </w:pPr>
      <w:r>
        <w:rPr>
          <w:rFonts w:ascii="Meiryo" w:cs="Meiryo" w:eastAsia="Meiryo" w:hAnsi="Meiryo"/>
          <w:b/>
          <w:bCs/>
          <w:i w:val="false"/>
          <w:iCs w:val="false"/>
          <w:color w:val="243B53"/>
          <w:sz w:val="23"/>
          <w:szCs w:val="23"/>
        </w:rPr>
        <w:t xml:space="preserve">4-3. 再委託の場合の例外</w:t>
      </w:r>
    </w:p>
    <w:p>
      <w:pPr>
        <w:spacing w:after="90" w:before="0" w:line="264"/>
      </w:pPr>
      <w:r>
        <w:rPr>
          <w:rFonts w:ascii="Meiryo" w:cs="Meiryo" w:eastAsia="Meiryo" w:hAnsi="Meiryo"/>
          <w:b w:val="false"/>
          <w:bCs w:val="false"/>
          <w:i w:val="false"/>
          <w:iCs w:val="false"/>
          <w:color w:val="263238"/>
          <w:sz w:val="21"/>
          <w:szCs w:val="21"/>
        </w:rPr>
        <w:t xml:space="preserve">元委託者から受けた業務をフリーランスに再委託する場合、3条通知で「再委託である旨」「元委託者の名称」「</w:t>
      </w:r>
      <w:r>
        <w:rPr>
          <w:rFonts w:ascii="Meiryo" w:cs="Meiryo" w:eastAsia="Meiryo" w:hAnsi="Meiryo"/>
          <w:b/>
          <w:bCs/>
          <w:i w:val="false"/>
          <w:iCs w:val="false"/>
          <w:color w:val="16314F"/>
          <w:sz w:val="21"/>
          <w:szCs w:val="21"/>
        </w:rPr>
        <w:t xml:space="preserve">元委託支払期日（元委託者から発注事業者への支払期日）</w:t>
      </w:r>
      <w:r>
        <w:rPr>
          <w:rFonts w:ascii="Meiryo" w:cs="Meiryo" w:eastAsia="Meiryo" w:hAnsi="Meiryo"/>
          <w:b w:val="false"/>
          <w:bCs w:val="false"/>
          <w:i w:val="false"/>
          <w:iCs w:val="false"/>
          <w:color w:val="263238"/>
          <w:sz w:val="21"/>
          <w:szCs w:val="21"/>
        </w:rPr>
        <w:t xml:space="preserve">」を明示すれば、元委託支払期日から起算して30日以内のできる限り短い期間内で支払期日を定めることができます。明示しなければ原則60日が適用されます。</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B42318" w:sz="6"/>
              <w:left w:val="single" w:color="B42318" w:sz="18"/>
              <w:bottom w:val="single" w:color="B42318" w:sz="6"/>
              <w:right w:val="single" w:color="B42318" w:sz="6"/>
            </w:tcBorders>
            <w:shd w:fill="FBE9E7" w:val="clear"/>
            <w:tcMar>
              <w:top w:type="dxa" w:w="110"/>
              <w:left w:type="dxa" w:w="160"/>
              <w:bottom w:type="dxa" w:w="110"/>
              <w:right w:type="dxa" w:w="160"/>
            </w:tcMar>
          </w:tcPr>
          <w:p>
            <w:pPr>
              <w:spacing w:after="60" w:before="0" w:line="264"/>
            </w:pPr>
            <w:r>
              <w:rPr>
                <w:rFonts w:ascii="Meiryo" w:cs="Meiryo" w:eastAsia="Meiryo" w:hAnsi="Meiryo"/>
                <w:b/>
                <w:bCs/>
                <w:i w:val="false"/>
                <w:iCs w:val="false"/>
                <w:color w:val="B42318"/>
                <w:sz w:val="21"/>
                <w:szCs w:val="21"/>
              </w:rPr>
              <w:t xml:space="preserve">再委託の例外が使えない場合があります</w:t>
            </w:r>
          </w:p>
          <w:p>
            <w:pPr>
              <w:spacing w:after="50" w:before="0" w:line="264"/>
            </w:pPr>
            <w:r>
              <w:rPr>
                <w:rFonts w:ascii="Meiryo" w:cs="Meiryo" w:eastAsia="Meiryo" w:hAnsi="Meiryo"/>
                <w:b w:val="false"/>
                <w:bCs w:val="false"/>
                <w:i w:val="false"/>
                <w:iCs w:val="false"/>
                <w:color w:val="263238"/>
                <w:sz w:val="20"/>
                <w:szCs w:val="20"/>
              </w:rPr>
              <w:t xml:space="preserve">取適法（旧下請法）の親事業者に当たる発注者は、取適法が優先的に適用されるため、フリーランス法の再委託30日の例外を使えない場合があります。適用関係は法務に確認してください。</w:t>
            </w:r>
          </w:p>
          <w:p>
            <w:pPr>
              <w:spacing w:after="0" w:before="0" w:line="264"/>
            </w:pPr>
            <w:r>
              <w:rPr>
                <w:rFonts w:ascii="Meiryo" w:cs="Meiryo" w:eastAsia="Meiryo" w:hAnsi="Meiryo"/>
                <w:b w:val="false"/>
                <w:bCs w:val="false"/>
                <w:i w:val="false"/>
                <w:iCs w:val="false"/>
                <w:color w:val="263238"/>
                <w:sz w:val="20"/>
                <w:szCs w:val="20"/>
              </w:rPr>
              <w:t xml:space="preserve">元委託者からの入金遅れは、フリーランスへの支払を遅らせる正当な理由になりません。</w:t>
            </w:r>
          </w:p>
        </w:tc>
      </w:tr>
    </w:tbl>
    <w:p>
      <w:pPr>
        <w:pStyle w:val="Heading2"/>
        <w:keepNext/>
        <w:keepLines/>
        <w:spacing w:after="80" w:before="170"/>
      </w:pPr>
      <w:r>
        <w:rPr>
          <w:rFonts w:ascii="Meiryo" w:cs="Meiryo" w:eastAsia="Meiryo" w:hAnsi="Meiryo"/>
          <w:b/>
          <w:bCs/>
          <w:i w:val="false"/>
          <w:iCs w:val="false"/>
          <w:color w:val="243B53"/>
          <w:sz w:val="23"/>
          <w:szCs w:val="23"/>
        </w:rPr>
        <w:t xml:space="preserve">4-4. 1か月以上の業務委託における禁止行為（第5条）</w:t>
      </w:r>
    </w:p>
    <w:p>
      <w:pPr>
        <w:spacing w:after="90" w:before="0" w:line="264"/>
      </w:pPr>
      <w:r>
        <w:rPr>
          <w:rFonts w:ascii="Meiryo" w:cs="Meiryo" w:eastAsia="Meiryo" w:hAnsi="Meiryo"/>
          <w:b w:val="false"/>
          <w:bCs w:val="false"/>
          <w:i w:val="false"/>
          <w:iCs w:val="false"/>
          <w:color w:val="263238"/>
          <w:sz w:val="21"/>
          <w:szCs w:val="21"/>
        </w:rPr>
        <w:t xml:space="preserve">1か月以上継続する業務委託で、フリーランスに責めがないのに次の行為をしてはなりません。</w:t>
      </w:r>
      <w:r>
        <w:rPr>
          <w:rFonts w:ascii="Meiryo" w:cs="Meiryo" w:eastAsia="Meiryo" w:hAnsi="Meiryo"/>
          <w:b/>
          <w:bCs/>
          <w:i w:val="false"/>
          <w:iCs w:val="false"/>
          <w:color w:val="B42318"/>
          <w:sz w:val="21"/>
          <w:szCs w:val="21"/>
        </w:rPr>
        <w:t xml:space="preserve">本人の了承を得ていても違反になり得ます。</w:t>
      </w:r>
    </w:p>
    <w:tbl>
      <w:tblPr>
        <w:tblW w:type="dxa" w:w="9638"/>
        <w:tblBorders>
          <w:top w:val="single" w:color="C9D2DA" w:sz="4"/>
          <w:left w:val="single" w:color="C9D2DA" w:sz="4"/>
          <w:bottom w:val="single" w:color="C9D2DA" w:sz="4"/>
          <w:right w:val="single" w:color="C9D2DA" w:sz="4"/>
          <w:insideH w:val="single" w:color="C9D2DA" w:sz="4"/>
          <w:insideV w:val="single" w:color="C9D2DA" w:sz="4"/>
        </w:tblBorders>
      </w:tblPr>
      <w:tblGrid>
        <w:gridCol w:w="3150"/>
        <w:gridCol w:w="6488"/>
      </w:tblGrid>
      <w:tr>
        <w:trPr>
          <w:tblHeader/>
        </w:trPr>
        <w:tc>
          <w:tcPr>
            <w:tcW w:type="dxa" w:w="3150"/>
            <w:shd w:fill="16314F" w:val="clear"/>
            <w:tcMar>
              <w:top w:type="dxa" w:w="60"/>
              <w:left w:type="dxa" w:w="110"/>
              <w:bottom w:type="dxa" w:w="60"/>
              <w:right w:type="dxa" w:w="110"/>
            </w:tcMar>
            <w:vAlign w:val="center"/>
          </w:tcPr>
          <w:p>
            <w:pPr>
              <w:spacing w:after="0" w:before="0" w:line="240"/>
              <w:jc w:val="center"/>
            </w:pPr>
            <w:r>
              <w:rPr>
                <w:rFonts w:ascii="Meiryo" w:cs="Meiryo" w:eastAsia="Meiryo" w:hAnsi="Meiryo"/>
                <w:b/>
                <w:bCs/>
                <w:i w:val="false"/>
                <w:iCs w:val="false"/>
                <w:color w:val="FFFFFF"/>
                <w:sz w:val="19"/>
                <w:szCs w:val="19"/>
              </w:rPr>
              <w:t xml:space="preserve">禁止行為</w:t>
            </w:r>
          </w:p>
        </w:tc>
        <w:tc>
          <w:tcPr>
            <w:tcW w:type="dxa" w:w="6488"/>
            <w:shd w:fill="16314F" w:val="clear"/>
            <w:tcMar>
              <w:top w:type="dxa" w:w="60"/>
              <w:left w:type="dxa" w:w="110"/>
              <w:bottom w:type="dxa" w:w="60"/>
              <w:right w:type="dxa" w:w="110"/>
            </w:tcMar>
            <w:vAlign w:val="center"/>
          </w:tcPr>
          <w:p>
            <w:pPr>
              <w:spacing w:after="0" w:before="0" w:line="240"/>
              <w:jc w:val="center"/>
            </w:pPr>
            <w:r>
              <w:rPr>
                <w:rFonts w:ascii="Meiryo" w:cs="Meiryo" w:eastAsia="Meiryo" w:hAnsi="Meiryo"/>
                <w:b/>
                <w:bCs/>
                <w:i w:val="false"/>
                <w:iCs w:val="false"/>
                <w:color w:val="FFFFFF"/>
                <w:sz w:val="19"/>
                <w:szCs w:val="19"/>
              </w:rPr>
              <w:t xml:space="preserve">内容</w:t>
            </w:r>
          </w:p>
        </w:tc>
      </w:tr>
      <w:tr>
        <w:tc>
          <w:tcPr>
            <w:tcW w:type="dxa" w:w="3150"/>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9"/>
                <w:szCs w:val="19"/>
              </w:rPr>
              <w:t xml:space="preserve">① 受領拒否</w:t>
            </w:r>
          </w:p>
        </w:tc>
        <w:tc>
          <w:tcPr>
            <w:tcW w:type="dxa" w:w="6488"/>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9"/>
                <w:szCs w:val="19"/>
              </w:rPr>
              <w:t xml:space="preserve">責めがないのに納期までに受け取らない（延期・一部受領も該当）。</w:t>
            </w:r>
          </w:p>
        </w:tc>
      </w:tr>
      <w:tr>
        <w:tc>
          <w:tcPr>
            <w:tcW w:type="dxa" w:w="3150"/>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9"/>
                <w:szCs w:val="19"/>
              </w:rPr>
              <w:t xml:space="preserve">② 報酬の減額</w:t>
            </w:r>
          </w:p>
        </w:tc>
        <w:tc>
          <w:tcPr>
            <w:tcW w:type="dxa" w:w="6488"/>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9"/>
                <w:szCs w:val="19"/>
              </w:rPr>
              <w:t xml:space="preserve">責めがないのに発注時の報酬を後から減らす（名目を問わず差引きは該当）。</w:t>
            </w:r>
          </w:p>
        </w:tc>
      </w:tr>
      <w:tr>
        <w:tc>
          <w:tcPr>
            <w:tcW w:type="dxa" w:w="3150"/>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9"/>
                <w:szCs w:val="19"/>
              </w:rPr>
              <w:t xml:space="preserve">③ 返品</w:t>
            </w:r>
          </w:p>
        </w:tc>
        <w:tc>
          <w:tcPr>
            <w:tcW w:type="dxa" w:w="6488"/>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9"/>
                <w:szCs w:val="19"/>
              </w:rPr>
              <w:t xml:space="preserve">責めがないのに受領後に引き取らせる。</w:t>
            </w:r>
          </w:p>
        </w:tc>
      </w:tr>
      <w:tr>
        <w:tc>
          <w:tcPr>
            <w:tcW w:type="dxa" w:w="3150"/>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9"/>
                <w:szCs w:val="19"/>
              </w:rPr>
              <w:t xml:space="preserve">④ 買いたたき</w:t>
            </w:r>
          </w:p>
        </w:tc>
        <w:tc>
          <w:tcPr>
            <w:tcW w:type="dxa" w:w="6488"/>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9"/>
                <w:szCs w:val="19"/>
              </w:rPr>
              <w:t xml:space="preserve">通常の対価に比べ著しく低い報酬額を不当に定める。</w:t>
            </w:r>
          </w:p>
        </w:tc>
      </w:tr>
      <w:tr>
        <w:tc>
          <w:tcPr>
            <w:tcW w:type="dxa" w:w="3150"/>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9"/>
                <w:szCs w:val="19"/>
              </w:rPr>
              <w:t xml:space="preserve">⑤ 購入・利用強制</w:t>
            </w:r>
          </w:p>
        </w:tc>
        <w:tc>
          <w:tcPr>
            <w:tcW w:type="dxa" w:w="6488"/>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9"/>
                <w:szCs w:val="19"/>
              </w:rPr>
              <w:t xml:space="preserve">正当な理由なく指定する物品の購入・役務の利用を強制する。</w:t>
            </w:r>
          </w:p>
        </w:tc>
      </w:tr>
      <w:tr>
        <w:tc>
          <w:tcPr>
            <w:tcW w:type="dxa" w:w="3150"/>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9"/>
                <w:szCs w:val="19"/>
              </w:rPr>
              <w:t xml:space="preserve">⑥ 不当な経済上の利益提供要請</w:t>
            </w:r>
          </w:p>
        </w:tc>
        <w:tc>
          <w:tcPr>
            <w:tcW w:type="dxa" w:w="6488"/>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9"/>
                <w:szCs w:val="19"/>
              </w:rPr>
              <w:t xml:space="preserve">委託範囲を超える金銭・役務等を提供させ、利益を不当に害する。</w:t>
            </w:r>
          </w:p>
        </w:tc>
      </w:tr>
      <w:tr>
        <w:tc>
          <w:tcPr>
            <w:tcW w:type="dxa" w:w="3150"/>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9"/>
                <w:szCs w:val="19"/>
              </w:rPr>
              <w:t xml:space="preserve">⑦ 不当な給付内容変更・やり直し</w:t>
            </w:r>
          </w:p>
        </w:tc>
        <w:tc>
          <w:tcPr>
            <w:tcW w:type="dxa" w:w="6488"/>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9"/>
                <w:szCs w:val="19"/>
              </w:rPr>
              <w:t xml:space="preserve">受領前の内容変更（取消・解除含む）／受領後の追加作業を不当に行う。</w:t>
            </w:r>
          </w:p>
        </w:tc>
      </w:tr>
    </w:tbl>
    <w:p>
      <w:pPr>
        <w:spacing w:after="40" w:before="80" w:line="264"/>
      </w:pPr>
      <w:r>
        <w:rPr>
          <w:rFonts w:ascii="Meiryo" w:cs="Meiryo" w:eastAsia="Meiryo" w:hAnsi="Meiryo"/>
          <w:b/>
          <w:bCs/>
          <w:i w:val="false"/>
          <w:iCs w:val="false"/>
          <w:color w:val="B58A3A"/>
          <w:sz w:val="21"/>
          <w:szCs w:val="21"/>
        </w:rPr>
        <w:t xml:space="preserve">やりがちなNGと望ましい対応：</w:t>
      </w:r>
    </w:p>
    <w:tbl>
      <w:tblPr>
        <w:tblW w:type="dxa" w:w="9638"/>
        <w:tblBorders>
          <w:top w:val="single" w:color="C9D2DA" w:sz="4"/>
          <w:left w:val="single" w:color="C9D2DA" w:sz="4"/>
          <w:bottom w:val="single" w:color="C9D2DA" w:sz="4"/>
          <w:right w:val="single" w:color="C9D2DA" w:sz="4"/>
          <w:insideH w:val="single" w:color="C9D2DA" w:sz="4"/>
          <w:insideV w:val="single" w:color="C9D2DA" w:sz="4"/>
        </w:tblBorders>
      </w:tblPr>
      <w:tblGrid>
        <w:gridCol w:w="1500"/>
        <w:gridCol w:w="4000"/>
        <w:gridCol w:w="4138"/>
      </w:tblGrid>
      <w:tr>
        <w:trPr>
          <w:tblHeader/>
        </w:trPr>
        <w:tc>
          <w:tcPr>
            <w:tcW w:type="dxa" w:w="1500"/>
            <w:shd w:fill="16314F" w:val="clear"/>
            <w:tcMar>
              <w:top w:type="dxa" w:w="60"/>
              <w:left w:type="dxa" w:w="110"/>
              <w:bottom w:type="dxa" w:w="60"/>
              <w:right w:type="dxa" w:w="110"/>
            </w:tcMar>
            <w:vAlign w:val="center"/>
          </w:tcPr>
          <w:p>
            <w:pPr>
              <w:spacing w:after="0" w:before="0" w:line="240"/>
              <w:jc w:val="center"/>
            </w:pPr>
            <w:r>
              <w:rPr>
                <w:rFonts w:ascii="Meiryo" w:cs="Meiryo" w:eastAsia="Meiryo" w:hAnsi="Meiryo"/>
                <w:b/>
                <w:bCs/>
                <w:i w:val="false"/>
                <w:iCs w:val="false"/>
                <w:color w:val="FFFFFF"/>
                <w:sz w:val="18"/>
                <w:szCs w:val="18"/>
              </w:rPr>
              <w:t xml:space="preserve">場面</w:t>
            </w:r>
          </w:p>
        </w:tc>
        <w:tc>
          <w:tcPr>
            <w:tcW w:type="dxa" w:w="4000"/>
            <w:shd w:fill="16314F" w:val="clear"/>
            <w:tcMar>
              <w:top w:type="dxa" w:w="60"/>
              <w:left w:type="dxa" w:w="110"/>
              <w:bottom w:type="dxa" w:w="60"/>
              <w:right w:type="dxa" w:w="110"/>
            </w:tcMar>
            <w:vAlign w:val="center"/>
          </w:tcPr>
          <w:p>
            <w:pPr>
              <w:spacing w:after="0" w:before="0" w:line="240"/>
              <w:jc w:val="center"/>
            </w:pPr>
            <w:r>
              <w:rPr>
                <w:rFonts w:ascii="Meiryo" w:cs="Meiryo" w:eastAsia="Meiryo" w:hAnsi="Meiryo"/>
                <w:b/>
                <w:bCs/>
                <w:i w:val="false"/>
                <w:iCs w:val="false"/>
                <w:color w:val="FFFFFF"/>
                <w:sz w:val="18"/>
                <w:szCs w:val="18"/>
              </w:rPr>
              <w:t xml:space="preserve">NG</w:t>
            </w:r>
          </w:p>
        </w:tc>
        <w:tc>
          <w:tcPr>
            <w:tcW w:type="dxa" w:w="4138"/>
            <w:shd w:fill="16314F" w:val="clear"/>
            <w:tcMar>
              <w:top w:type="dxa" w:w="60"/>
              <w:left w:type="dxa" w:w="110"/>
              <w:bottom w:type="dxa" w:w="60"/>
              <w:right w:type="dxa" w:w="110"/>
            </w:tcMar>
            <w:vAlign w:val="center"/>
          </w:tcPr>
          <w:p>
            <w:pPr>
              <w:spacing w:after="0" w:before="0" w:line="240"/>
              <w:jc w:val="center"/>
            </w:pPr>
            <w:r>
              <w:rPr>
                <w:rFonts w:ascii="Meiryo" w:cs="Meiryo" w:eastAsia="Meiryo" w:hAnsi="Meiryo"/>
                <w:b/>
                <w:bCs/>
                <w:i w:val="false"/>
                <w:iCs w:val="false"/>
                <w:color w:val="FFFFFF"/>
                <w:sz w:val="18"/>
                <w:szCs w:val="18"/>
              </w:rPr>
              <w:t xml:space="preserve">望ましい対応</w:t>
            </w:r>
          </w:p>
        </w:tc>
      </w:tr>
      <w:tr>
        <w:tc>
          <w:tcPr>
            <w:tcW w:type="dxa" w:w="1500"/>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減額</w:t>
            </w:r>
          </w:p>
        </w:tc>
        <w:tc>
          <w:tcPr>
            <w:tcW w:type="dxa" w:w="4000"/>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「予算が減った」と一方的に値引き／手数料を一方的に控除</w:t>
            </w:r>
          </w:p>
        </w:tc>
        <w:tc>
          <w:tcPr>
            <w:tcW w:type="dxa" w:w="4138"/>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費用負担は事前に取り決め・明示。変更は協議し記録</w:t>
            </w:r>
          </w:p>
        </w:tc>
      </w:tr>
      <w:tr>
        <w:tc>
          <w:tcPr>
            <w:tcW w:type="dxa" w:w="1500"/>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買いたたき</w:t>
            </w:r>
          </w:p>
        </w:tc>
        <w:tc>
          <w:tcPr>
            <w:tcW w:type="dxa" w:w="4000"/>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作業が増えたのに同額に据え置き</w:t>
            </w:r>
          </w:p>
        </w:tc>
        <w:tc>
          <w:tcPr>
            <w:tcW w:type="dxa" w:w="4138"/>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工数・市場価格を踏まえ協議し、範囲が変われば見直す</w:t>
            </w:r>
          </w:p>
        </w:tc>
      </w:tr>
      <w:tr>
        <w:tc>
          <w:tcPr>
            <w:tcW w:type="dxa" w:w="1500"/>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やり直し</w:t>
            </w:r>
          </w:p>
        </w:tc>
        <w:tc>
          <w:tcPr>
            <w:tcW w:type="dxa" w:w="4000"/>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仕様不明確のまま無償で全面修正を要求</w:t>
            </w:r>
          </w:p>
        </w:tc>
        <w:tc>
          <w:tcPr>
            <w:tcW w:type="dxa" w:w="4138"/>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仕様・修正回数を事前明確化。変更は内容・追加報酬・納期を協議</w:t>
            </w:r>
          </w:p>
        </w:tc>
      </w:tr>
      <w:tr>
        <w:tc>
          <w:tcPr>
            <w:tcW w:type="dxa" w:w="1500"/>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受領拒否</w:t>
            </w:r>
          </w:p>
        </w:tc>
        <w:tc>
          <w:tcPr>
            <w:tcW w:type="dxa" w:w="4000"/>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発注者都合で解除し受領を拒む</w:t>
            </w:r>
          </w:p>
        </w:tc>
        <w:tc>
          <w:tcPr>
            <w:tcW w:type="dxa" w:w="4138"/>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解除も受領拒否に当たり得る。早めに協議し記録</w:t>
            </w:r>
          </w:p>
        </w:tc>
      </w:tr>
    </w:tbl>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B42318" w:sz="6"/>
              <w:left w:val="single" w:color="B42318" w:sz="18"/>
              <w:bottom w:val="single" w:color="B42318" w:sz="6"/>
              <w:right w:val="single" w:color="B42318" w:sz="6"/>
            </w:tcBorders>
            <w:shd w:fill="FBE9E7" w:val="clear"/>
            <w:tcMar>
              <w:top w:type="dxa" w:w="110"/>
              <w:left w:type="dxa" w:w="160"/>
              <w:bottom w:type="dxa" w:w="110"/>
              <w:right w:type="dxa" w:w="160"/>
            </w:tcMar>
          </w:tcPr>
          <w:p>
            <w:pPr>
              <w:spacing w:after="60" w:before="0" w:line="264"/>
            </w:pPr>
            <w:r>
              <w:rPr>
                <w:rFonts w:ascii="Meiryo" w:cs="Meiryo" w:eastAsia="Meiryo" w:hAnsi="Meiryo"/>
                <w:b/>
                <w:bCs/>
                <w:i w:val="false"/>
                <w:iCs w:val="false"/>
                <w:color w:val="B42318"/>
                <w:sz w:val="21"/>
                <w:szCs w:val="21"/>
              </w:rPr>
              <w:t xml:space="preserve">【重要】スポット契約・単発でも対象になり得ます</w:t>
            </w:r>
          </w:p>
          <w:p>
            <w:pPr>
              <w:spacing w:after="50" w:before="0" w:line="264"/>
            </w:pPr>
            <w:r>
              <w:rPr>
                <w:rFonts w:ascii="Meiryo" w:cs="Meiryo" w:eastAsia="Meiryo" w:hAnsi="Meiryo"/>
                <w:b w:val="false"/>
                <w:bCs w:val="false"/>
                <w:i w:val="false"/>
                <w:iCs w:val="false"/>
                <w:color w:val="263238"/>
                <w:sz w:val="20"/>
                <w:szCs w:val="20"/>
              </w:rPr>
              <w:t xml:space="preserve">「1か月以上」は、業務委託をした日（発注・合意日）から給付を受領する予定の日までで計算します。1日限りの単発でも、納品予定日の1か月以上前に発注すれば対象になり得ます。</w:t>
            </w:r>
          </w:p>
          <w:p>
            <w:pPr>
              <w:spacing w:after="0" w:before="0" w:line="264"/>
            </w:pPr>
            <w:r>
              <w:rPr>
                <w:rFonts w:ascii="Meiryo" w:cs="Meiryo" w:eastAsia="Meiryo" w:hAnsi="Meiryo"/>
                <w:b w:val="false"/>
                <w:bCs w:val="false"/>
                <w:i w:val="false"/>
                <w:iCs w:val="false"/>
                <w:color w:val="263238"/>
                <w:sz w:val="20"/>
                <w:szCs w:val="20"/>
              </w:rPr>
              <w:t xml:space="preserve">契約期間が1か月未満の短期・単発でも、更新（自動更新を含む）を繰り返して通算1か月以上となる場合や、1か月以上の基本契約の下での個別発注は、第5条（減額・無償やり直し等の禁止）の対象になります。「単発だから無償で何度でも修正させてよい」という現場判断は厳禁です。</w:t>
            </w:r>
          </w:p>
        </w:tc>
      </w:tr>
    </w:tbl>
    <w:p>
      <w:pPr>
        <w:pStyle w:val="Heading1"/>
        <w:keepNext/>
        <w:keepLines/>
        <w:pBdr>
          <w:bottom w:val="single" w:color="B58A3A" w:sz="14" w:space="4"/>
        </w:pBdr>
        <w:spacing w:after="120" w:before="220"/>
      </w:pPr>
      <w:r>
        <w:rPr>
          <w:rFonts w:ascii="Meiryo" w:cs="Meiryo" w:eastAsia="Meiryo" w:hAnsi="Meiryo"/>
          <w:b/>
          <w:bCs/>
          <w:i w:val="false"/>
          <w:iCs w:val="false"/>
          <w:color w:val="16314F"/>
          <w:sz w:val="28"/>
          <w:szCs w:val="28"/>
        </w:rPr>
        <w:t xml:space="preserve">5. 就業環境の整備</w:t>
      </w:r>
    </w:p>
    <w:p>
      <w:pPr>
        <w:pStyle w:val="Heading2"/>
        <w:keepNext/>
        <w:keepLines/>
        <w:spacing w:after="80" w:before="170"/>
      </w:pPr>
      <w:r>
        <w:rPr>
          <w:rFonts w:ascii="Meiryo" w:cs="Meiryo" w:eastAsia="Meiryo" w:hAnsi="Meiryo"/>
          <w:b/>
          <w:bCs/>
          <w:i w:val="false"/>
          <w:iCs w:val="false"/>
          <w:color w:val="243B53"/>
          <w:sz w:val="23"/>
          <w:szCs w:val="23"/>
        </w:rPr>
        <w:t xml:space="preserve">5-1. 募集情報の的確表示（第12条）</w:t>
      </w:r>
    </w:p>
    <w:p>
      <w:pPr>
        <w:spacing w:after="90" w:before="0" w:line="264"/>
      </w:pPr>
      <w:r>
        <w:rPr>
          <w:rFonts w:ascii="Meiryo" w:cs="Meiryo" w:eastAsia="Meiryo" w:hAnsi="Meiryo"/>
          <w:b w:val="false"/>
          <w:bCs w:val="false"/>
          <w:i w:val="false"/>
          <w:iCs w:val="false"/>
          <w:color w:val="263238"/>
          <w:sz w:val="21"/>
          <w:szCs w:val="21"/>
        </w:rPr>
        <w:t xml:space="preserve">広告・SNS・求人媒体・クラウドソーシング等で委託先を募集する際は、虚偽・誤解を生じさせる表示をせず、正確かつ最新の内容に保ちます。厚労省の指針・公的資料上、募集情報では、氏名又は名称、住所、連絡先、業務内容、従事場所、報酬などを正確かつ最新に表示することが重要とされ、これらを欠く表示は、誤解を生じさせる表示として問題になり得ます。</w:t>
      </w:r>
    </w:p>
    <w:p>
      <w:pPr>
        <w:pStyle w:val="ListParagraph"/>
        <w:numPr>
          <w:ilvl w:val="0"/>
          <w:numId w:val="2"/>
        </w:numPr>
        <w:spacing w:after="50" w:line="252"/>
      </w:pPr>
      <w:r>
        <w:rPr>
          <w:rFonts w:ascii="Meiryo" w:cs="Meiryo" w:eastAsia="Meiryo" w:hAnsi="Meiryo"/>
          <w:b w:val="false"/>
          <w:bCs w:val="false"/>
          <w:i w:val="false"/>
          <w:iCs w:val="false"/>
          <w:color w:val="263238"/>
          <w:sz w:val="21"/>
          <w:szCs w:val="21"/>
        </w:rPr>
        <w:t xml:space="preserve">実際と異なる稼働・場所・報酬を表示しない／実際より高額の報酬を表示しない。</w:t>
      </w:r>
    </w:p>
    <w:p>
      <w:pPr>
        <w:pStyle w:val="ListParagraph"/>
        <w:numPr>
          <w:ilvl w:val="0"/>
          <w:numId w:val="2"/>
        </w:numPr>
        <w:spacing w:after="50" w:line="252"/>
      </w:pPr>
      <w:r>
        <w:rPr>
          <w:rFonts w:ascii="Meiryo" w:cs="Meiryo" w:eastAsia="Meiryo" w:hAnsi="Meiryo"/>
          <w:b w:val="false"/>
          <w:bCs w:val="false"/>
          <w:i w:val="false"/>
          <w:iCs w:val="false"/>
          <w:color w:val="263238"/>
          <w:sz w:val="21"/>
          <w:szCs w:val="21"/>
        </w:rPr>
        <w:t xml:space="preserve">古い募集を放置せず最新に保つ。募集条件と実際の発注条件が違う場合は明確に説明し記録する。</w:t>
      </w:r>
    </w:p>
    <w:p>
      <w:pPr>
        <w:pStyle w:val="Heading2"/>
        <w:keepNext/>
        <w:keepLines/>
        <w:spacing w:after="80" w:before="170"/>
      </w:pPr>
      <w:r>
        <w:rPr>
          <w:rFonts w:ascii="Meiryo" w:cs="Meiryo" w:eastAsia="Meiryo" w:hAnsi="Meiryo"/>
          <w:b/>
          <w:bCs/>
          <w:i w:val="false"/>
          <w:iCs w:val="false"/>
          <w:color w:val="243B53"/>
          <w:sz w:val="23"/>
          <w:szCs w:val="23"/>
        </w:rPr>
        <w:t xml:space="preserve">5-2. 育児介護等との両立配慮（第13条）</w:t>
      </w:r>
    </w:p>
    <w:p>
      <w:pPr>
        <w:spacing w:after="90" w:before="0" w:line="264"/>
      </w:pPr>
      <w:r>
        <w:rPr>
          <w:rFonts w:ascii="Meiryo" w:cs="Meiryo" w:eastAsia="Meiryo" w:hAnsi="Meiryo"/>
          <w:b/>
          <w:bCs/>
          <w:i w:val="false"/>
          <w:iCs w:val="false"/>
          <w:color w:val="16314F"/>
          <w:sz w:val="21"/>
          <w:szCs w:val="21"/>
        </w:rPr>
        <w:t xml:space="preserve">6か月以上の業務委託</w:t>
      </w:r>
      <w:r>
        <w:rPr>
          <w:rFonts w:ascii="Meiryo" w:cs="Meiryo" w:eastAsia="Meiryo" w:hAnsi="Meiryo"/>
          <w:b w:val="false"/>
          <w:bCs w:val="false"/>
          <w:i w:val="false"/>
          <w:iCs w:val="false"/>
          <w:color w:val="263238"/>
          <w:sz w:val="21"/>
          <w:szCs w:val="21"/>
        </w:rPr>
        <w:t xml:space="preserve">では、妊娠・出産・育児・介護と両立できるよう、フリーランスの申出に応じて必要な配慮をしなければなりません（義務）。</w:t>
      </w:r>
    </w:p>
    <w:p>
      <w:pPr>
        <w:spacing w:after="90" w:before="0" w:line="264"/>
      </w:pPr>
      <w:r>
        <w:rPr>
          <w:rFonts w:ascii="Meiryo" w:cs="Meiryo" w:eastAsia="Meiryo" w:hAnsi="Meiryo"/>
          <w:b/>
          <w:bCs/>
          <w:i w:val="false"/>
          <w:iCs w:val="false"/>
          <w:color w:val="263238"/>
          <w:sz w:val="21"/>
          <w:szCs w:val="21"/>
        </w:rPr>
        <w:t xml:space="preserve">6か月未満</w:t>
      </w:r>
      <w:r>
        <w:rPr>
          <w:rFonts w:ascii="Meiryo" w:cs="Meiryo" w:eastAsia="Meiryo" w:hAnsi="Meiryo"/>
          <w:b w:val="false"/>
          <w:bCs w:val="false"/>
          <w:i w:val="false"/>
          <w:iCs w:val="false"/>
          <w:color w:val="263238"/>
          <w:sz w:val="21"/>
          <w:szCs w:val="21"/>
        </w:rPr>
        <w:t xml:space="preserve">の場合も、同様の配慮をするよう努めなければなりません（努力義務）。契約更新により通算6か月以上となる場合も対象です。</w:t>
      </w:r>
    </w:p>
    <w:p>
      <w:pPr>
        <w:pStyle w:val="ListParagraph"/>
        <w:numPr>
          <w:ilvl w:val="0"/>
          <w:numId w:val="2"/>
        </w:numPr>
        <w:spacing w:after="50" w:line="252"/>
      </w:pPr>
      <w:r>
        <w:rPr>
          <w:rFonts w:ascii="Meiryo" w:cs="Meiryo" w:eastAsia="Meiryo" w:hAnsi="Meiryo"/>
          <w:b w:val="false"/>
          <w:bCs w:val="false"/>
          <w:i w:val="false"/>
          <w:iCs w:val="false"/>
          <w:color w:val="263238"/>
          <w:sz w:val="21"/>
          <w:szCs w:val="21"/>
        </w:rPr>
        <w:t xml:space="preserve">配慮の例：妊婦健診の時間確保、就業時間の短縮・オンライン化、急な体調不良時の対応の事前取決め、子の急病等での納期調整。</w:t>
      </w:r>
    </w:p>
    <w:p>
      <w:pPr>
        <w:pStyle w:val="ListParagraph"/>
        <w:numPr>
          <w:ilvl w:val="0"/>
          <w:numId w:val="2"/>
        </w:numPr>
        <w:spacing w:after="50" w:line="252"/>
      </w:pPr>
      <w:r>
        <w:rPr>
          <w:rFonts w:ascii="Meiryo" w:cs="Meiryo" w:eastAsia="Meiryo" w:hAnsi="Meiryo"/>
          <w:b w:val="false"/>
          <w:bCs w:val="false"/>
          <w:i w:val="false"/>
          <w:iCs w:val="false"/>
          <w:color w:val="263238"/>
          <w:sz w:val="21"/>
          <w:szCs w:val="21"/>
        </w:rPr>
        <w:t xml:space="preserve">申出内容を必ず実現する義務ではありません。実施できない場合は、その旨と理由を分かりやすく説明します。プライバシーに配慮します。</w:t>
      </w:r>
    </w:p>
    <w:p>
      <w:pPr>
        <w:pStyle w:val="Heading2"/>
        <w:keepNext/>
        <w:keepLines/>
        <w:spacing w:after="80" w:before="170"/>
      </w:pPr>
      <w:r>
        <w:rPr>
          <w:rFonts w:ascii="Meiryo" w:cs="Meiryo" w:eastAsia="Meiryo" w:hAnsi="Meiryo"/>
          <w:b/>
          <w:bCs/>
          <w:i w:val="false"/>
          <w:iCs w:val="false"/>
          <w:color w:val="243B53"/>
          <w:sz w:val="23"/>
          <w:szCs w:val="23"/>
        </w:rPr>
        <w:t xml:space="preserve">5-3. ハラスメント対策の体制整備（第14条）</w:t>
      </w:r>
    </w:p>
    <w:p>
      <w:pPr>
        <w:spacing w:after="90" w:before="0" w:line="264"/>
      </w:pPr>
      <w:r>
        <w:rPr>
          <w:rFonts w:ascii="Meiryo" w:cs="Meiryo" w:eastAsia="Meiryo" w:hAnsi="Meiryo"/>
          <w:b w:val="false"/>
          <w:bCs w:val="false"/>
          <w:i w:val="false"/>
          <w:iCs w:val="false"/>
          <w:color w:val="263238"/>
          <w:sz w:val="21"/>
          <w:szCs w:val="21"/>
        </w:rPr>
        <w:t xml:space="preserve">フリーランス（特定受託業務従事者）へのセクハラ・パワハラ・妊娠出産育児介護等に関するハラスメントを防ぐため、相談対応等の体制整備が義務です。相談窓口の整備・周知、相談対応・再発防止、プライバシー保護、不利益取扱いの防止を行います。発注担当者・現場管理者・社員・委託先関係者が加害者になり得ます。</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2F6B4F" w:sz="6"/>
              <w:left w:val="single" w:color="2F6B4F" w:sz="18"/>
              <w:bottom w:val="single" w:color="2F6B4F" w:sz="6"/>
              <w:right w:val="single" w:color="2F6B4F" w:sz="6"/>
            </w:tcBorders>
            <w:shd w:fill="E7F1EC" w:val="clear"/>
            <w:tcMar>
              <w:top w:type="dxa" w:w="110"/>
              <w:left w:type="dxa" w:w="160"/>
              <w:bottom w:type="dxa" w:w="110"/>
              <w:right w:type="dxa" w:w="160"/>
            </w:tcMar>
          </w:tcPr>
          <w:p>
            <w:pPr>
              <w:spacing w:after="60" w:before="0" w:line="264"/>
            </w:pPr>
            <w:r>
              <w:rPr>
                <w:rFonts w:ascii="Meiryo" w:cs="Meiryo" w:eastAsia="Meiryo" w:hAnsi="Meiryo"/>
                <w:b/>
                <w:bCs/>
                <w:i w:val="false"/>
                <w:iCs w:val="false"/>
                <w:color w:val="2F6B4F"/>
                <w:sz w:val="21"/>
                <w:szCs w:val="21"/>
              </w:rPr>
              <w:t xml:space="preserve">相談を受けたら</w:t>
            </w:r>
          </w:p>
          <w:p>
            <w:pPr>
              <w:spacing w:after="0" w:before="0" w:line="264"/>
            </w:pPr>
            <w:r>
              <w:rPr>
                <w:rFonts w:ascii="Meiryo" w:cs="Meiryo" w:eastAsia="Meiryo" w:hAnsi="Meiryo"/>
                <w:b w:val="false"/>
                <w:bCs w:val="false"/>
                <w:i w:val="false"/>
                <w:iCs w:val="false"/>
                <w:color w:val="263238"/>
                <w:sz w:val="20"/>
                <w:szCs w:val="20"/>
              </w:rPr>
              <w:t xml:space="preserve">その場で握りつぶさず正規窓口へつなぐ。相談したこと等を理由に不利益に扱わない。詳細なハラスメント研修は第5・6回を参照。</w:t>
            </w:r>
          </w:p>
        </w:tc>
      </w:tr>
    </w:tbl>
    <w:p>
      <w:pPr>
        <w:pStyle w:val="Heading2"/>
        <w:keepNext/>
        <w:keepLines/>
        <w:spacing w:after="80" w:before="170"/>
      </w:pPr>
      <w:r>
        <w:rPr>
          <w:rFonts w:ascii="Meiryo" w:cs="Meiryo" w:eastAsia="Meiryo" w:hAnsi="Meiryo"/>
          <w:b/>
          <w:bCs/>
          <w:i w:val="false"/>
          <w:iCs w:val="false"/>
          <w:color w:val="243B53"/>
          <w:sz w:val="23"/>
          <w:szCs w:val="23"/>
        </w:rPr>
        <w:t xml:space="preserve">5-4. 中途解除・不更新の事前予告・理由開示（第16条）</w:t>
      </w:r>
    </w:p>
    <w:p>
      <w:pPr>
        <w:spacing w:after="90" w:before="0" w:line="264"/>
      </w:pPr>
      <w:r>
        <w:rPr>
          <w:rFonts w:ascii="Meiryo" w:cs="Meiryo" w:eastAsia="Meiryo" w:hAnsi="Meiryo"/>
          <w:b/>
          <w:bCs/>
          <w:i w:val="false"/>
          <w:iCs w:val="false"/>
          <w:color w:val="16314F"/>
          <w:sz w:val="21"/>
          <w:szCs w:val="21"/>
        </w:rPr>
        <w:t xml:space="preserve">6か月以上の業務委託</w:t>
      </w:r>
      <w:r>
        <w:rPr>
          <w:rFonts w:ascii="Meiryo" w:cs="Meiryo" w:eastAsia="Meiryo" w:hAnsi="Meiryo"/>
          <w:b w:val="false"/>
          <w:bCs w:val="false"/>
          <w:i w:val="false"/>
          <w:iCs w:val="false"/>
          <w:color w:val="263238"/>
          <w:sz w:val="21"/>
          <w:szCs w:val="21"/>
        </w:rPr>
        <w:t xml:space="preserve">を中途解除・不更新する場合は、原則として30日前までに予告します（予告日当日を含めて、解除日の前日まで30日間を確保）。理由開示を求められたら、例外を除き遅滞なく書面・メール等で説明します（口頭不可）。</w:t>
      </w:r>
    </w:p>
    <w:p>
      <w:pPr>
        <w:spacing w:after="60" w:before="0" w:line="264"/>
      </w:pPr>
      <w:r>
        <w:rPr>
          <w:rFonts w:ascii="Meiryo" w:cs="Meiryo" w:eastAsia="Meiryo" w:hAnsi="Meiryo"/>
          <w:b/>
          <w:bCs/>
          <w:i w:val="false"/>
          <w:iCs w:val="false"/>
          <w:color w:val="B58A3A"/>
          <w:sz w:val="21"/>
          <w:szCs w:val="21"/>
        </w:rPr>
        <w:t xml:space="preserve">計算例：</w:t>
      </w:r>
      <w:r>
        <w:rPr>
          <w:rFonts w:ascii="Meiryo" w:cs="Meiryo" w:eastAsia="Meiryo" w:hAnsi="Meiryo"/>
          <w:b w:val="false"/>
          <w:bCs w:val="false"/>
          <w:i w:val="false"/>
          <w:iCs w:val="false"/>
          <w:color w:val="263238"/>
          <w:sz w:val="19"/>
          <w:szCs w:val="19"/>
        </w:rPr>
        <w:t xml:space="preserve">10月31日に解除（契約終了）するなら、10月1日までに予告。10月1日〜10月30日で30日間が確保されます（公取委・厚労省Q&amp;A106の考え方）。</w:t>
      </w:r>
    </w:p>
    <w:p>
      <w:pPr>
        <w:spacing w:after="90" w:before="0" w:line="264"/>
      </w:pPr>
      <w:r>
        <w:rPr>
          <w:rFonts w:ascii="Meiryo" w:cs="Meiryo" w:eastAsia="Meiryo" w:hAnsi="Meiryo"/>
          <w:b/>
          <w:bCs/>
          <w:i w:val="false"/>
          <w:iCs w:val="false"/>
          <w:color w:val="263238"/>
          <w:sz w:val="21"/>
          <w:szCs w:val="21"/>
        </w:rPr>
        <w:t xml:space="preserve">予告が不要な主な例外：</w:t>
      </w:r>
      <w:r>
        <w:rPr>
          <w:rFonts w:ascii="Meiryo" w:cs="Meiryo" w:eastAsia="Meiryo" w:hAnsi="Meiryo"/>
          <w:b w:val="false"/>
          <w:bCs w:val="false"/>
          <w:i w:val="false"/>
          <w:iCs w:val="false"/>
          <w:color w:val="263238"/>
          <w:sz w:val="21"/>
          <w:szCs w:val="21"/>
        </w:rPr>
        <w:t xml:space="preserve">災害等やむを得ない事由／上流(元委託)の解除で直ちに解除せざるを得ない場合／契約期間が30日以下など短期／フリーランスの責めに帰すべき事由 など。</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B42318" w:sz="6"/>
              <w:left w:val="single" w:color="B42318" w:sz="18"/>
              <w:bottom w:val="single" w:color="B42318" w:sz="6"/>
              <w:right w:val="single" w:color="B42318" w:sz="6"/>
            </w:tcBorders>
            <w:shd w:fill="FBE9E7" w:val="clear"/>
            <w:tcMar>
              <w:top w:type="dxa" w:w="110"/>
              <w:left w:type="dxa" w:w="160"/>
              <w:bottom w:type="dxa" w:w="110"/>
              <w:right w:type="dxa" w:w="160"/>
            </w:tcMar>
          </w:tcPr>
          <w:p>
            <w:pPr>
              <w:spacing w:after="60" w:before="0" w:line="264"/>
            </w:pPr>
            <w:r>
              <w:rPr>
                <w:rFonts w:ascii="Meiryo" w:cs="Meiryo" w:eastAsia="Meiryo" w:hAnsi="Meiryo"/>
                <w:b/>
                <w:bCs/>
                <w:i w:val="false"/>
                <w:iCs w:val="false"/>
                <w:color w:val="B42318"/>
                <w:sz w:val="21"/>
                <w:szCs w:val="21"/>
              </w:rPr>
              <w:t xml:space="preserve">契約書に解除条項があっても自由終了ではありません</w:t>
            </w:r>
          </w:p>
          <w:p>
            <w:pPr>
              <w:spacing w:after="0" w:before="0" w:line="264"/>
            </w:pPr>
            <w:r>
              <w:rPr>
                <w:rFonts w:ascii="Meiryo" w:cs="Meiryo" w:eastAsia="Meiryo" w:hAnsi="Meiryo"/>
                <w:b w:val="false"/>
                <w:bCs w:val="false"/>
                <w:i w:val="false"/>
                <w:iCs w:val="false"/>
                <w:color w:val="263238"/>
                <w:sz w:val="20"/>
                <w:szCs w:val="20"/>
              </w:rPr>
              <w:t xml:space="preserve">例外該当性・継続期間の判断は現場で独断しないこと。30日前予告をしても民法上の規律や損害賠償の問題が残り得ます。</w:t>
            </w:r>
          </w:p>
        </w:tc>
      </w:tr>
    </w:tbl>
    <w:p>
      <w:pPr>
        <w:pStyle w:val="Heading1"/>
        <w:keepNext/>
        <w:keepLines/>
        <w:pBdr>
          <w:bottom w:val="single" w:color="B58A3A" w:sz="14" w:space="4"/>
        </w:pBdr>
        <w:spacing w:after="120" w:before="220"/>
      </w:pPr>
      <w:r>
        <w:rPr>
          <w:rFonts w:ascii="Meiryo" w:cs="Meiryo" w:eastAsia="Meiryo" w:hAnsi="Meiryo"/>
          <w:b/>
          <w:bCs/>
          <w:i w:val="false"/>
          <w:iCs w:val="false"/>
          <w:color w:val="16314F"/>
          <w:sz w:val="28"/>
          <w:szCs w:val="28"/>
        </w:rPr>
        <w:t xml:space="preserve">6. 問題を見つけたときの初動</w:t>
      </w:r>
    </w:p>
    <w:p>
      <w:pPr>
        <w:pStyle w:val="ListParagraph"/>
        <w:numPr>
          <w:ilvl w:val="0"/>
          <w:numId w:val="3"/>
        </w:numPr>
        <w:spacing w:after="50" w:line="256"/>
      </w:pPr>
      <w:r>
        <w:rPr>
          <w:rFonts w:ascii="Meiryo" w:cs="Meiryo" w:eastAsia="Meiryo" w:hAnsi="Meiryo"/>
          <w:b/>
          <w:bCs/>
          <w:i w:val="false"/>
          <w:iCs w:val="false"/>
          <w:color w:val="263238"/>
          <w:sz w:val="21"/>
          <w:szCs w:val="21"/>
        </w:rPr>
        <w:t xml:space="preserve">止める：問題のおそれがある対応をいったん止める。</w:t>
      </w:r>
    </w:p>
    <w:p>
      <w:pPr>
        <w:pStyle w:val="ListParagraph"/>
        <w:numPr>
          <w:ilvl w:val="0"/>
          <w:numId w:val="3"/>
        </w:numPr>
        <w:spacing w:after="50" w:line="256"/>
      </w:pPr>
      <w:r>
        <w:rPr>
          <w:rFonts w:ascii="Meiryo" w:cs="Meiryo" w:eastAsia="Meiryo" w:hAnsi="Meiryo"/>
          <w:b/>
          <w:bCs/>
          <w:i w:val="false"/>
          <w:iCs w:val="false"/>
          <w:color w:val="263238"/>
          <w:sz w:val="21"/>
          <w:szCs w:val="21"/>
        </w:rPr>
        <w:t xml:space="preserve">残す：契約書・発注書・メール・チャット・募集情報・請求書・検収/相談記録を消さず保存する。</w:t>
      </w:r>
    </w:p>
    <w:p>
      <w:pPr>
        <w:pStyle w:val="ListParagraph"/>
        <w:numPr>
          <w:ilvl w:val="0"/>
          <w:numId w:val="3"/>
        </w:numPr>
        <w:spacing w:after="50" w:line="256"/>
      </w:pPr>
      <w:r>
        <w:rPr>
          <w:rFonts w:ascii="Meiryo" w:cs="Meiryo" w:eastAsia="Meiryo" w:hAnsi="Meiryo"/>
          <w:b/>
          <w:bCs/>
          <w:i w:val="false"/>
          <w:iCs w:val="false"/>
          <w:color w:val="263238"/>
          <w:sz w:val="21"/>
          <w:szCs w:val="21"/>
        </w:rPr>
        <w:t xml:space="preserve">報告する：上長・法務・人事・購買・経理・コンプライアンスへ報告する。</w:t>
      </w:r>
    </w:p>
    <w:p>
      <w:pPr>
        <w:pStyle w:val="ListParagraph"/>
        <w:numPr>
          <w:ilvl w:val="0"/>
          <w:numId w:val="3"/>
        </w:numPr>
        <w:spacing w:after="50" w:line="256"/>
      </w:pPr>
      <w:r>
        <w:rPr>
          <w:rFonts w:ascii="Meiryo" w:cs="Meiryo" w:eastAsia="Meiryo" w:hAnsi="Meiryo"/>
          <w:b/>
          <w:bCs/>
          <w:i w:val="false"/>
          <w:iCs w:val="false"/>
          <w:color w:val="263238"/>
          <w:sz w:val="21"/>
          <w:szCs w:val="21"/>
        </w:rPr>
        <w:t xml:space="preserve">相談する：該当性・違反該当性・労働者性は独断せず相談する。</w:t>
      </w:r>
    </w:p>
    <w:p>
      <w:pPr>
        <w:pStyle w:val="Heading1"/>
        <w:keepNext/>
        <w:keepLines/>
        <w:pBdr>
          <w:bottom w:val="single" w:color="B58A3A" w:sz="14" w:space="4"/>
        </w:pBdr>
        <w:spacing w:after="120" w:before="220"/>
      </w:pPr>
      <w:r>
        <w:rPr>
          <w:rFonts w:ascii="Meiryo" w:cs="Meiryo" w:eastAsia="Meiryo" w:hAnsi="Meiryo"/>
          <w:b/>
          <w:bCs/>
          <w:i w:val="false"/>
          <w:iCs w:val="false"/>
          <w:color w:val="16314F"/>
          <w:sz w:val="28"/>
          <w:szCs w:val="28"/>
        </w:rPr>
        <w:t xml:space="preserve">7. 自社の相談先（要記入）</w:t>
      </w:r>
    </w:p>
    <w:p>
      <w:pPr>
        <w:spacing w:after="80" w:before="0" w:line="264"/>
      </w:pPr>
      <w:r>
        <w:rPr>
          <w:rFonts w:ascii="Meiryo" w:cs="Meiryo" w:eastAsia="Meiryo" w:hAnsi="Meiryo"/>
          <w:b w:val="false"/>
          <w:bCs w:val="false"/>
          <w:i w:val="false"/>
          <w:iCs w:val="false"/>
          <w:color w:val="5B6770"/>
          <w:sz w:val="19"/>
          <w:szCs w:val="19"/>
        </w:rPr>
        <w:t xml:space="preserve">架空の連絡先は記入せず、実施前に自社の窓口を記入してください。</w:t>
      </w:r>
    </w:p>
    <w:tbl>
      <w:tblPr>
        <w:tblW w:type="dxa" w:w="9638"/>
        <w:tblBorders>
          <w:top w:val="single" w:color="C9D2DA" w:sz="4"/>
          <w:left w:val="single" w:color="C9D2DA" w:sz="4"/>
          <w:bottom w:val="single" w:color="C9D2DA" w:sz="4"/>
          <w:right w:val="single" w:color="C9D2DA" w:sz="4"/>
          <w:insideH w:val="single" w:color="C9D2DA" w:sz="4"/>
          <w:insideV w:val="single" w:color="C9D2DA" w:sz="4"/>
        </w:tblBorders>
      </w:tblPr>
      <w:tblGrid>
        <w:gridCol w:w="2700"/>
        <w:gridCol w:w="6938"/>
      </w:tblGrid>
      <w:tr>
        <w:tc>
          <w:tcPr>
            <w:tcW w:type="dxa" w:w="2700"/>
            <w:shd w:fill="EEF2F6" w:val="clear"/>
            <w:tcMar>
              <w:top w:type="dxa" w:w="70"/>
              <w:left w:type="dxa" w:w="110"/>
              <w:bottom w:type="dxa" w:w="70"/>
              <w:right w:type="dxa" w:w="110"/>
            </w:tcMar>
            <w:vAlign w:val="center"/>
          </w:tcPr>
          <w:p>
            <w:pPr>
              <w:spacing w:after="0" w:before="0" w:line="240"/>
            </w:pPr>
            <w:r>
              <w:rPr>
                <w:rFonts w:ascii="Meiryo" w:cs="Meiryo" w:eastAsia="Meiryo" w:hAnsi="Meiryo"/>
                <w:b/>
                <w:bCs/>
                <w:i w:val="false"/>
                <w:iCs w:val="false"/>
                <w:color w:val="243B53"/>
                <w:sz w:val="19"/>
                <w:szCs w:val="19"/>
              </w:rPr>
              <w:t xml:space="preserve">フリーランス法・業務委託の相談</w:t>
            </w:r>
          </w:p>
        </w:tc>
        <w:tc>
          <w:tcPr>
            <w:tcW w:type="dxa" w:w="6938"/>
            <w:tcMar>
              <w:top w:type="dxa" w:w="70"/>
              <w:left w:type="dxa" w:w="110"/>
              <w:bottom w:type="dxa" w:w="70"/>
              <w:right w:type="dxa" w:w="110"/>
            </w:tcMar>
            <w:vAlign w:val="center"/>
          </w:tcPr>
          <w:p>
            <w:pPr>
              <w:spacing w:after="0" w:before="0" w:line="240"/>
            </w:pPr>
            <w:r>
              <w:rPr>
                <w:rFonts w:ascii="Meiryo" w:cs="Meiryo" w:eastAsia="Meiryo" w:hAnsi="Meiryo"/>
                <w:b w:val="false"/>
                <w:bCs w:val="false"/>
                <w:i w:val="false"/>
                <w:iCs w:val="false"/>
                <w:color w:val="5B6770"/>
                <w:sz w:val="18"/>
                <w:szCs w:val="18"/>
              </w:rPr>
              <w:t xml:space="preserve"/>
            </w:r>
          </w:p>
        </w:tc>
      </w:tr>
      <w:tr>
        <w:tc>
          <w:tcPr>
            <w:tcW w:type="dxa" w:w="2700"/>
            <w:shd w:fill="EEF2F6" w:val="clear"/>
            <w:tcMar>
              <w:top w:type="dxa" w:w="70"/>
              <w:left w:type="dxa" w:w="110"/>
              <w:bottom w:type="dxa" w:w="70"/>
              <w:right w:type="dxa" w:w="110"/>
            </w:tcMar>
            <w:vAlign w:val="center"/>
          </w:tcPr>
          <w:p>
            <w:pPr>
              <w:spacing w:after="0" w:before="0" w:line="240"/>
            </w:pPr>
            <w:r>
              <w:rPr>
                <w:rFonts w:ascii="Meiryo" w:cs="Meiryo" w:eastAsia="Meiryo" w:hAnsi="Meiryo"/>
                <w:b/>
                <w:bCs/>
                <w:i w:val="false"/>
                <w:iCs w:val="false"/>
                <w:color w:val="243B53"/>
                <w:sz w:val="19"/>
                <w:szCs w:val="19"/>
              </w:rPr>
              <w:t xml:space="preserve">発注・取引条件・支払（購買/経理）</w:t>
            </w:r>
          </w:p>
        </w:tc>
        <w:tc>
          <w:tcPr>
            <w:tcW w:type="dxa" w:w="6938"/>
            <w:tcMar>
              <w:top w:type="dxa" w:w="70"/>
              <w:left w:type="dxa" w:w="110"/>
              <w:bottom w:type="dxa" w:w="70"/>
              <w:right w:type="dxa" w:w="110"/>
            </w:tcMar>
            <w:vAlign w:val="center"/>
          </w:tcPr>
          <w:p>
            <w:pPr>
              <w:spacing w:after="0" w:before="0" w:line="240"/>
            </w:pPr>
            <w:r>
              <w:rPr>
                <w:rFonts w:ascii="Meiryo" w:cs="Meiryo" w:eastAsia="Meiryo" w:hAnsi="Meiryo"/>
                <w:b w:val="false"/>
                <w:bCs w:val="false"/>
                <w:i w:val="false"/>
                <w:iCs w:val="false"/>
                <w:color w:val="5B6770"/>
                <w:sz w:val="18"/>
                <w:szCs w:val="18"/>
              </w:rPr>
              <w:t xml:space="preserve"/>
            </w:r>
          </w:p>
        </w:tc>
      </w:tr>
      <w:tr>
        <w:tc>
          <w:tcPr>
            <w:tcW w:type="dxa" w:w="2700"/>
            <w:shd w:fill="EEF2F6" w:val="clear"/>
            <w:tcMar>
              <w:top w:type="dxa" w:w="70"/>
              <w:left w:type="dxa" w:w="110"/>
              <w:bottom w:type="dxa" w:w="70"/>
              <w:right w:type="dxa" w:w="110"/>
            </w:tcMar>
            <w:vAlign w:val="center"/>
          </w:tcPr>
          <w:p>
            <w:pPr>
              <w:spacing w:after="0" w:before="0" w:line="240"/>
            </w:pPr>
            <w:r>
              <w:rPr>
                <w:rFonts w:ascii="Meiryo" w:cs="Meiryo" w:eastAsia="Meiryo" w:hAnsi="Meiryo"/>
                <w:b/>
                <w:bCs/>
                <w:i w:val="false"/>
                <w:iCs w:val="false"/>
                <w:color w:val="243B53"/>
                <w:sz w:val="19"/>
                <w:szCs w:val="19"/>
              </w:rPr>
              <w:t xml:space="preserve">募集情報・採用（人事/広報）</w:t>
            </w:r>
          </w:p>
        </w:tc>
        <w:tc>
          <w:tcPr>
            <w:tcW w:type="dxa" w:w="6938"/>
            <w:tcMar>
              <w:top w:type="dxa" w:w="70"/>
              <w:left w:type="dxa" w:w="110"/>
              <w:bottom w:type="dxa" w:w="70"/>
              <w:right w:type="dxa" w:w="110"/>
            </w:tcMar>
            <w:vAlign w:val="center"/>
          </w:tcPr>
          <w:p>
            <w:pPr>
              <w:spacing w:after="0" w:before="0" w:line="240"/>
            </w:pPr>
            <w:r>
              <w:rPr>
                <w:rFonts w:ascii="Meiryo" w:cs="Meiryo" w:eastAsia="Meiryo" w:hAnsi="Meiryo"/>
                <w:b w:val="false"/>
                <w:bCs w:val="false"/>
                <w:i w:val="false"/>
                <w:iCs w:val="false"/>
                <w:color w:val="5B6770"/>
                <w:sz w:val="18"/>
                <w:szCs w:val="18"/>
              </w:rPr>
              <w:t xml:space="preserve"/>
            </w:r>
          </w:p>
        </w:tc>
      </w:tr>
      <w:tr>
        <w:tc>
          <w:tcPr>
            <w:tcW w:type="dxa" w:w="2700"/>
            <w:shd w:fill="EEF2F6" w:val="clear"/>
            <w:tcMar>
              <w:top w:type="dxa" w:w="70"/>
              <w:left w:type="dxa" w:w="110"/>
              <w:bottom w:type="dxa" w:w="70"/>
              <w:right w:type="dxa" w:w="110"/>
            </w:tcMar>
            <w:vAlign w:val="center"/>
          </w:tcPr>
          <w:p>
            <w:pPr>
              <w:spacing w:after="0" w:before="0" w:line="240"/>
            </w:pPr>
            <w:r>
              <w:rPr>
                <w:rFonts w:ascii="Meiryo" w:cs="Meiryo" w:eastAsia="Meiryo" w:hAnsi="Meiryo"/>
                <w:b/>
                <w:bCs/>
                <w:i w:val="false"/>
                <w:iCs w:val="false"/>
                <w:color w:val="243B53"/>
                <w:sz w:val="19"/>
                <w:szCs w:val="19"/>
              </w:rPr>
              <w:t xml:space="preserve">ハラスメント相談窓口</w:t>
            </w:r>
          </w:p>
        </w:tc>
        <w:tc>
          <w:tcPr>
            <w:tcW w:type="dxa" w:w="6938"/>
            <w:tcMar>
              <w:top w:type="dxa" w:w="70"/>
              <w:left w:type="dxa" w:w="110"/>
              <w:bottom w:type="dxa" w:w="70"/>
              <w:right w:type="dxa" w:w="110"/>
            </w:tcMar>
            <w:vAlign w:val="center"/>
          </w:tcPr>
          <w:p>
            <w:pPr>
              <w:spacing w:after="0" w:before="0" w:line="240"/>
            </w:pPr>
            <w:r>
              <w:rPr>
                <w:rFonts w:ascii="Meiryo" w:cs="Meiryo" w:eastAsia="Meiryo" w:hAnsi="Meiryo"/>
                <w:b w:val="false"/>
                <w:bCs w:val="false"/>
                <w:i w:val="false"/>
                <w:iCs w:val="false"/>
                <w:color w:val="5B6770"/>
                <w:sz w:val="18"/>
                <w:szCs w:val="18"/>
              </w:rPr>
              <w:t xml:space="preserve"/>
            </w:r>
          </w:p>
        </w:tc>
      </w:tr>
      <w:tr>
        <w:tc>
          <w:tcPr>
            <w:tcW w:type="dxa" w:w="2700"/>
            <w:shd w:fill="EEF2F6" w:val="clear"/>
            <w:tcMar>
              <w:top w:type="dxa" w:w="70"/>
              <w:left w:type="dxa" w:w="110"/>
              <w:bottom w:type="dxa" w:w="70"/>
              <w:right w:type="dxa" w:w="110"/>
            </w:tcMar>
            <w:vAlign w:val="center"/>
          </w:tcPr>
          <w:p>
            <w:pPr>
              <w:spacing w:after="0" w:before="0" w:line="240"/>
            </w:pPr>
            <w:r>
              <w:rPr>
                <w:rFonts w:ascii="Meiryo" w:cs="Meiryo" w:eastAsia="Meiryo" w:hAnsi="Meiryo"/>
                <w:b/>
                <w:bCs/>
                <w:i w:val="false"/>
                <w:iCs w:val="false"/>
                <w:color w:val="243B53"/>
                <w:sz w:val="19"/>
                <w:szCs w:val="19"/>
              </w:rPr>
              <w:t xml:space="preserve">育児介護等配慮の申出先</w:t>
            </w:r>
          </w:p>
        </w:tc>
        <w:tc>
          <w:tcPr>
            <w:tcW w:type="dxa" w:w="6938"/>
            <w:tcMar>
              <w:top w:type="dxa" w:w="70"/>
              <w:left w:type="dxa" w:w="110"/>
              <w:bottom w:type="dxa" w:w="70"/>
              <w:right w:type="dxa" w:w="110"/>
            </w:tcMar>
            <w:vAlign w:val="center"/>
          </w:tcPr>
          <w:p>
            <w:pPr>
              <w:spacing w:after="0" w:before="0" w:line="240"/>
            </w:pPr>
            <w:r>
              <w:rPr>
                <w:rFonts w:ascii="Meiryo" w:cs="Meiryo" w:eastAsia="Meiryo" w:hAnsi="Meiryo"/>
                <w:b w:val="false"/>
                <w:bCs w:val="false"/>
                <w:i w:val="false"/>
                <w:iCs w:val="false"/>
                <w:color w:val="5B6770"/>
                <w:sz w:val="18"/>
                <w:szCs w:val="18"/>
              </w:rPr>
              <w:t xml:space="preserve"/>
            </w:r>
          </w:p>
        </w:tc>
      </w:tr>
      <w:tr>
        <w:tc>
          <w:tcPr>
            <w:tcW w:type="dxa" w:w="2700"/>
            <w:shd w:fill="EEF2F6" w:val="clear"/>
            <w:tcMar>
              <w:top w:type="dxa" w:w="70"/>
              <w:left w:type="dxa" w:w="110"/>
              <w:bottom w:type="dxa" w:w="70"/>
              <w:right w:type="dxa" w:w="110"/>
            </w:tcMar>
            <w:vAlign w:val="center"/>
          </w:tcPr>
          <w:p>
            <w:pPr>
              <w:spacing w:after="0" w:before="0" w:line="240"/>
            </w:pPr>
            <w:r>
              <w:rPr>
                <w:rFonts w:ascii="Meiryo" w:cs="Meiryo" w:eastAsia="Meiryo" w:hAnsi="Meiryo"/>
                <w:b/>
                <w:bCs/>
                <w:i w:val="false"/>
                <w:iCs w:val="false"/>
                <w:color w:val="243B53"/>
                <w:sz w:val="19"/>
                <w:szCs w:val="19"/>
              </w:rPr>
              <w:t xml:space="preserve">中途解除・不更新の相談（法務）</w:t>
            </w:r>
          </w:p>
        </w:tc>
        <w:tc>
          <w:tcPr>
            <w:tcW w:type="dxa" w:w="6938"/>
            <w:tcMar>
              <w:top w:type="dxa" w:w="70"/>
              <w:left w:type="dxa" w:w="110"/>
              <w:bottom w:type="dxa" w:w="70"/>
              <w:right w:type="dxa" w:w="110"/>
            </w:tcMar>
            <w:vAlign w:val="center"/>
          </w:tcPr>
          <w:p>
            <w:pPr>
              <w:spacing w:after="0" w:before="0" w:line="240"/>
            </w:pPr>
            <w:r>
              <w:rPr>
                <w:rFonts w:ascii="Meiryo" w:cs="Meiryo" w:eastAsia="Meiryo" w:hAnsi="Meiryo"/>
                <w:b w:val="false"/>
                <w:bCs w:val="false"/>
                <w:i w:val="false"/>
                <w:iCs w:val="false"/>
                <w:color w:val="5B6770"/>
                <w:sz w:val="18"/>
                <w:szCs w:val="18"/>
              </w:rPr>
              <w:t xml:space="preserve"/>
            </w:r>
          </w:p>
        </w:tc>
      </w:tr>
      <w:tr>
        <w:tc>
          <w:tcPr>
            <w:tcW w:type="dxa" w:w="2700"/>
            <w:shd w:fill="EEF2F6" w:val="clear"/>
            <w:tcMar>
              <w:top w:type="dxa" w:w="70"/>
              <w:left w:type="dxa" w:w="110"/>
              <w:bottom w:type="dxa" w:w="70"/>
              <w:right w:type="dxa" w:w="110"/>
            </w:tcMar>
            <w:vAlign w:val="center"/>
          </w:tcPr>
          <w:p>
            <w:pPr>
              <w:spacing w:after="0" w:before="0" w:line="240"/>
            </w:pPr>
            <w:r>
              <w:rPr>
                <w:rFonts w:ascii="Meiryo" w:cs="Meiryo" w:eastAsia="Meiryo" w:hAnsi="Meiryo"/>
                <w:b/>
                <w:bCs/>
                <w:i w:val="false"/>
                <w:iCs w:val="false"/>
                <w:color w:val="243B53"/>
                <w:sz w:val="19"/>
                <w:szCs w:val="19"/>
              </w:rPr>
              <w:t xml:space="preserve">内部通報窓口</w:t>
            </w:r>
          </w:p>
        </w:tc>
        <w:tc>
          <w:tcPr>
            <w:tcW w:type="dxa" w:w="6938"/>
            <w:tcMar>
              <w:top w:type="dxa" w:w="70"/>
              <w:left w:type="dxa" w:w="110"/>
              <w:bottom w:type="dxa" w:w="70"/>
              <w:right w:type="dxa" w:w="110"/>
            </w:tcMar>
            <w:vAlign w:val="center"/>
          </w:tcPr>
          <w:p>
            <w:pPr>
              <w:spacing w:after="0" w:before="0" w:line="240"/>
            </w:pPr>
            <w:r>
              <w:rPr>
                <w:rFonts w:ascii="Meiryo" w:cs="Meiryo" w:eastAsia="Meiryo" w:hAnsi="Meiryo"/>
                <w:b w:val="false"/>
                <w:bCs w:val="false"/>
                <w:i w:val="false"/>
                <w:iCs w:val="false"/>
                <w:color w:val="5B6770"/>
                <w:sz w:val="18"/>
                <w:szCs w:val="18"/>
              </w:rPr>
              <w:t xml:space="preserve"/>
            </w:r>
          </w:p>
        </w:tc>
      </w:tr>
    </w:tbl>
    <w:p>
      <w:r>
        <w:br w:type="page"/>
      </w:r>
    </w:p>
    <w:p>
      <w:pPr>
        <w:pStyle w:val="Heading1"/>
        <w:keepNext/>
        <w:keepLines/>
        <w:pBdr>
          <w:bottom w:val="single" w:color="B58A3A" w:sz="14" w:space="4"/>
        </w:pBdr>
        <w:spacing w:after="120" w:before="220"/>
      </w:pPr>
      <w:r>
        <w:rPr>
          <w:rFonts w:ascii="Meiryo" w:cs="Meiryo" w:eastAsia="Meiryo" w:hAnsi="Meiryo"/>
          <w:b/>
          <w:bCs/>
          <w:i w:val="false"/>
          <w:iCs w:val="false"/>
          <w:color w:val="16314F"/>
          <w:sz w:val="28"/>
          <w:szCs w:val="28"/>
        </w:rPr>
        <w:t xml:space="preserve">8. 発注のながれと各段階の注意</w:t>
      </w:r>
    </w:p>
    <w:p>
      <w:pPr>
        <w:spacing w:after="60" w:before="0" w:line="264"/>
      </w:pPr>
      <w:r>
        <w:rPr>
          <w:rFonts w:ascii="Meiryo" w:cs="Meiryo" w:eastAsia="Meiryo" w:hAnsi="Meiryo"/>
          <w:b w:val="false"/>
          <w:bCs w:val="false"/>
          <w:i w:val="false"/>
          <w:iCs w:val="false"/>
          <w:color w:val="263238"/>
          <w:sz w:val="21"/>
          <w:szCs w:val="21"/>
        </w:rPr>
        <w:t xml:space="preserve">募集から終了までの各段階で、フリーランス法上の注意点があります。</w:t>
      </w:r>
    </w:p>
    <w:tbl>
      <w:tblPr>
        <w:tblW w:type="dxa" w:w="9638"/>
        <w:tblBorders>
          <w:top w:val="single" w:color="C9D2DA" w:sz="4"/>
          <w:left w:val="single" w:color="C9D2DA" w:sz="4"/>
          <w:bottom w:val="single" w:color="C9D2DA" w:sz="4"/>
          <w:right w:val="single" w:color="C9D2DA" w:sz="4"/>
          <w:insideH w:val="single" w:color="C9D2DA" w:sz="4"/>
          <w:insideV w:val="single" w:color="C9D2DA" w:sz="4"/>
        </w:tblBorders>
      </w:tblPr>
      <w:tblGrid>
        <w:gridCol w:w="1500"/>
        <w:gridCol w:w="8138"/>
      </w:tblGrid>
      <w:tr>
        <w:trPr>
          <w:tblHeader/>
        </w:trPr>
        <w:tc>
          <w:tcPr>
            <w:tcW w:type="dxa" w:w="1500"/>
            <w:shd w:fill="16314F" w:val="clear"/>
            <w:tcMar>
              <w:top w:type="dxa" w:w="60"/>
              <w:left w:type="dxa" w:w="110"/>
              <w:bottom w:type="dxa" w:w="60"/>
              <w:right w:type="dxa" w:w="110"/>
            </w:tcMar>
            <w:vAlign w:val="center"/>
          </w:tcPr>
          <w:p>
            <w:pPr>
              <w:spacing w:after="0" w:before="0" w:line="240"/>
              <w:jc w:val="center"/>
            </w:pPr>
            <w:r>
              <w:rPr>
                <w:rFonts w:ascii="Meiryo" w:cs="Meiryo" w:eastAsia="Meiryo" w:hAnsi="Meiryo"/>
                <w:b/>
                <w:bCs/>
                <w:i w:val="false"/>
                <w:iCs w:val="false"/>
                <w:color w:val="FFFFFF"/>
                <w:sz w:val="18"/>
                <w:szCs w:val="18"/>
              </w:rPr>
              <w:t xml:space="preserve">段階</w:t>
            </w:r>
          </w:p>
        </w:tc>
        <w:tc>
          <w:tcPr>
            <w:tcW w:type="dxa" w:w="8138"/>
            <w:shd w:fill="16314F" w:val="clear"/>
            <w:tcMar>
              <w:top w:type="dxa" w:w="60"/>
              <w:left w:type="dxa" w:w="110"/>
              <w:bottom w:type="dxa" w:w="60"/>
              <w:right w:type="dxa" w:w="110"/>
            </w:tcMar>
            <w:vAlign w:val="center"/>
          </w:tcPr>
          <w:p>
            <w:pPr>
              <w:spacing w:after="0" w:before="0" w:line="240"/>
              <w:jc w:val="center"/>
            </w:pPr>
            <w:r>
              <w:rPr>
                <w:rFonts w:ascii="Meiryo" w:cs="Meiryo" w:eastAsia="Meiryo" w:hAnsi="Meiryo"/>
                <w:b/>
                <w:bCs/>
                <w:i w:val="false"/>
                <w:iCs w:val="false"/>
                <w:color w:val="FFFFFF"/>
                <w:sz w:val="18"/>
                <w:szCs w:val="18"/>
              </w:rPr>
              <w:t xml:space="preserve">主な注意点</w:t>
            </w:r>
          </w:p>
        </w:tc>
      </w:tr>
      <w:tr>
        <w:tc>
          <w:tcPr>
            <w:tcW w:type="dxa" w:w="1500"/>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① 募集</w:t>
            </w:r>
          </w:p>
        </w:tc>
        <w:tc>
          <w:tcPr>
            <w:tcW w:type="dxa" w:w="8138"/>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虚偽・誤解表示をしない／正確・最新に保つ／6項目（名称・住所・連絡先・業務内容・従事場所・報酬）を満たす（第12条）。</w:t>
            </w:r>
          </w:p>
        </w:tc>
      </w:tr>
      <w:tr>
        <w:tc>
          <w:tcPr>
            <w:tcW w:type="dxa" w:w="1500"/>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② 発注</w:t>
            </w:r>
          </w:p>
        </w:tc>
        <w:tc>
          <w:tcPr>
            <w:tcW w:type="dxa" w:w="8138"/>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直ちに書面・電磁的方法で8つの取引条件を明示し記録する（第3条）。知財の譲渡・許諾範囲も明示。</w:t>
            </w:r>
          </w:p>
        </w:tc>
      </w:tr>
      <w:tr>
        <w:tc>
          <w:tcPr>
            <w:tcW w:type="dxa" w:w="1500"/>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③ 作業中</w:t>
            </w:r>
          </w:p>
        </w:tc>
        <w:tc>
          <w:tcPr>
            <w:tcW w:type="dxa" w:w="8138"/>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1か月以上は受領拒否・減額・返品・買いたたき・強制・不当な利益要請・不当な変更/やり直しをしない（第5条）。変更は協議・記録。</w:t>
            </w:r>
          </w:p>
        </w:tc>
      </w:tr>
      <w:tr>
        <w:tc>
          <w:tcPr>
            <w:tcW w:type="dxa" w:w="1500"/>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④ 受領・検収</w:t>
            </w:r>
          </w:p>
        </w:tc>
        <w:tc>
          <w:tcPr>
            <w:tcW w:type="dxa" w:w="8138"/>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受領拒否・返品をしない。検収完了期日を定める。検収遅れを支払遅延の理由にしない。</w:t>
            </w:r>
          </w:p>
        </w:tc>
      </w:tr>
      <w:tr>
        <w:tc>
          <w:tcPr>
            <w:tcW w:type="dxa" w:w="1500"/>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⑤ 支払</w:t>
            </w:r>
          </w:p>
        </w:tc>
        <w:tc>
          <w:tcPr>
            <w:tcW w:type="dxa" w:w="8138"/>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受領日起算60日以内・できる限り短い期間で支払う（第4条）。再委託の例外は明示が条件。</w:t>
            </w:r>
          </w:p>
        </w:tc>
      </w:tr>
      <w:tr>
        <w:tc>
          <w:tcPr>
            <w:tcW w:type="dxa" w:w="1500"/>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⑥ 継続・終了</w:t>
            </w:r>
          </w:p>
        </w:tc>
        <w:tc>
          <w:tcPr>
            <w:tcW w:type="dxa" w:w="8138"/>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6か月以上は育児介護等配慮（第13条）。中途解除・不更新は原則30日前予告・理由開示（第16条）。</w:t>
            </w:r>
          </w:p>
        </w:tc>
      </w:tr>
    </w:tbl>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237A75" w:sz="6"/>
              <w:left w:val="single" w:color="237A75" w:sz="18"/>
              <w:bottom w:val="single" w:color="237A75" w:sz="6"/>
              <w:right w:val="single" w:color="237A75" w:sz="6"/>
            </w:tcBorders>
            <w:shd w:fill="E3EFEE" w:val="clear"/>
            <w:tcMar>
              <w:top w:type="dxa" w:w="110"/>
              <w:left w:type="dxa" w:w="160"/>
              <w:bottom w:type="dxa" w:w="110"/>
              <w:right w:type="dxa" w:w="160"/>
            </w:tcMar>
          </w:tcPr>
          <w:p>
            <w:pPr>
              <w:spacing w:after="60" w:before="0" w:line="264"/>
            </w:pPr>
            <w:r>
              <w:rPr>
                <w:rFonts w:ascii="Meiryo" w:cs="Meiryo" w:eastAsia="Meiryo" w:hAnsi="Meiryo"/>
                <w:b/>
                <w:bCs/>
                <w:i w:val="false"/>
                <w:iCs w:val="false"/>
                <w:color w:val="237A75"/>
                <w:sz w:val="21"/>
                <w:szCs w:val="21"/>
              </w:rPr>
              <w:t xml:space="preserve">どの段階でも</w:t>
            </w:r>
          </w:p>
          <w:p>
            <w:pPr>
              <w:spacing w:after="0" w:before="0" w:line="264"/>
            </w:pPr>
            <w:r>
              <w:rPr>
                <w:rFonts w:ascii="Meiryo" w:cs="Meiryo" w:eastAsia="Meiryo" w:hAnsi="Meiryo"/>
                <w:b w:val="false"/>
                <w:bCs w:val="false"/>
                <w:i w:val="false"/>
                <w:iCs w:val="false"/>
                <w:color w:val="263238"/>
                <w:sz w:val="20"/>
                <w:szCs w:val="20"/>
              </w:rPr>
              <w:t xml:space="preserve">労働者性が問題になり得る働かせ方（強い拘束・細かな指揮命令）を避け、迷えば人事・法務へ相談する。</w:t>
            </w:r>
          </w:p>
        </w:tc>
      </w:tr>
    </w:tbl>
    <w:p>
      <w:pPr>
        <w:pStyle w:val="Heading1"/>
        <w:keepNext/>
        <w:keepLines/>
        <w:pBdr>
          <w:bottom w:val="single" w:color="B58A3A" w:sz="14" w:space="4"/>
        </w:pBdr>
        <w:spacing w:after="120" w:before="220"/>
      </w:pPr>
      <w:r>
        <w:rPr>
          <w:rFonts w:ascii="Meiryo" w:cs="Meiryo" w:eastAsia="Meiryo" w:hAnsi="Meiryo"/>
          <w:b/>
          <w:bCs/>
          <w:i w:val="false"/>
          <w:iCs w:val="false"/>
          <w:color w:val="16314F"/>
          <w:sz w:val="28"/>
          <w:szCs w:val="28"/>
        </w:rPr>
        <w:t xml:space="preserve">9. よくあるQ&amp;A</w:t>
      </w:r>
    </w:p>
    <w:tbl>
      <w:tblPr>
        <w:tblW w:type="dxa" w:w="9638"/>
        <w:tblBorders>
          <w:top w:val="single" w:color="C9D2DA" w:sz="4"/>
          <w:left w:val="single" w:color="C9D2DA" w:sz="4"/>
          <w:bottom w:val="single" w:color="C9D2DA" w:sz="4"/>
          <w:right w:val="single" w:color="C9D2DA" w:sz="4"/>
          <w:insideH w:val="single" w:color="C9D2DA" w:sz="4"/>
          <w:insideV w:val="single" w:color="C9D2DA" w:sz="4"/>
        </w:tblBorders>
      </w:tblPr>
      <w:tblGrid>
        <w:gridCol w:w="3400"/>
        <w:gridCol w:w="6238"/>
      </w:tblGrid>
      <w:tr>
        <w:trPr>
          <w:tblHeader/>
        </w:trPr>
        <w:tc>
          <w:tcPr>
            <w:tcW w:type="dxa" w:w="3400"/>
            <w:shd w:fill="16314F" w:val="clear"/>
            <w:tcMar>
              <w:top w:type="dxa" w:w="60"/>
              <w:left w:type="dxa" w:w="110"/>
              <w:bottom w:type="dxa" w:w="60"/>
              <w:right w:type="dxa" w:w="110"/>
            </w:tcMar>
            <w:vAlign w:val="center"/>
          </w:tcPr>
          <w:p>
            <w:pPr>
              <w:spacing w:after="0" w:before="0" w:line="240"/>
              <w:jc w:val="center"/>
            </w:pPr>
            <w:r>
              <w:rPr>
                <w:rFonts w:ascii="Meiryo" w:cs="Meiryo" w:eastAsia="Meiryo" w:hAnsi="Meiryo"/>
                <w:b/>
                <w:bCs/>
                <w:i w:val="false"/>
                <w:iCs w:val="false"/>
                <w:color w:val="FFFFFF"/>
                <w:sz w:val="18"/>
                <w:szCs w:val="18"/>
              </w:rPr>
              <w:t xml:space="preserve">質問</w:t>
            </w:r>
          </w:p>
        </w:tc>
        <w:tc>
          <w:tcPr>
            <w:tcW w:type="dxa" w:w="6238"/>
            <w:shd w:fill="16314F" w:val="clear"/>
            <w:tcMar>
              <w:top w:type="dxa" w:w="60"/>
              <w:left w:type="dxa" w:w="110"/>
              <w:bottom w:type="dxa" w:w="60"/>
              <w:right w:type="dxa" w:w="110"/>
            </w:tcMar>
            <w:vAlign w:val="center"/>
          </w:tcPr>
          <w:p>
            <w:pPr>
              <w:spacing w:after="0" w:before="0" w:line="240"/>
              <w:jc w:val="center"/>
            </w:pPr>
            <w:r>
              <w:rPr>
                <w:rFonts w:ascii="Meiryo" w:cs="Meiryo" w:eastAsia="Meiryo" w:hAnsi="Meiryo"/>
                <w:b/>
                <w:bCs/>
                <w:i w:val="false"/>
                <w:iCs w:val="false"/>
                <w:color w:val="FFFFFF"/>
                <w:sz w:val="18"/>
                <w:szCs w:val="18"/>
              </w:rPr>
              <w:t xml:space="preserve">回答の方向</w:t>
            </w:r>
          </w:p>
        </w:tc>
      </w:tr>
      <w:tr>
        <w:tc>
          <w:tcPr>
            <w:tcW w:type="dxa" w:w="3400"/>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副業で受ける人も対象ですか？</w:t>
            </w:r>
          </w:p>
        </w:tc>
        <w:tc>
          <w:tcPr>
            <w:tcW w:type="dxa" w:w="6238"/>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雇用されている人が副業で事業者として受託する場合も、特定受託事業者に該当し得ます。</w:t>
            </w:r>
          </w:p>
        </w:tc>
      </w:tr>
      <w:tr>
        <w:tc>
          <w:tcPr>
            <w:tcW w:type="dxa" w:w="3400"/>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契約書があれば取引条件の明示は不要ですか？</w:t>
            </w:r>
          </w:p>
        </w:tc>
        <w:tc>
          <w:tcPr>
            <w:tcW w:type="dxa" w:w="6238"/>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契約書も手段の一つですが、8つの明示事項を直ちに書面・電磁的方法で示す必要があります。</w:t>
            </w:r>
          </w:p>
        </w:tc>
      </w:tr>
      <w:tr>
        <w:tc>
          <w:tcPr>
            <w:tcW w:type="dxa" w:w="3400"/>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支払は請求書が来てから60日でよいですか？</w:t>
            </w:r>
          </w:p>
        </w:tc>
        <w:tc>
          <w:tcPr>
            <w:tcW w:type="dxa" w:w="6238"/>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起算日は受領日です。請求書の未着・検収/承認の遅れ・元委託の入金遅れは支払を遅らせる理由になりません。</w:t>
            </w:r>
          </w:p>
        </w:tc>
      </w:tr>
      <w:tr>
        <w:tc>
          <w:tcPr>
            <w:tcW w:type="dxa" w:w="3400"/>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本人が同意すれば減額してよいですか？</w:t>
            </w:r>
          </w:p>
        </w:tc>
        <w:tc>
          <w:tcPr>
            <w:tcW w:type="dxa" w:w="6238"/>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1か月以上の委託では、本人の了承があっても減額は違反になり得ます。</w:t>
            </w:r>
          </w:p>
        </w:tc>
      </w:tr>
      <w:tr>
        <w:tc>
          <w:tcPr>
            <w:tcW w:type="dxa" w:w="3400"/>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仕様が曖昧なら無償修正を求めてよいですか？</w:t>
            </w:r>
          </w:p>
        </w:tc>
        <w:tc>
          <w:tcPr>
            <w:tcW w:type="dxa" w:w="6238"/>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不当なやり直しに当たり得ます。変更は内容・追加報酬・納期を協議し記録します。</w:t>
            </w:r>
          </w:p>
        </w:tc>
      </w:tr>
      <w:tr>
        <w:tc>
          <w:tcPr>
            <w:tcW w:type="dxa" w:w="3400"/>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業務委託に育児介護等の配慮は不要ですか？</w:t>
            </w:r>
          </w:p>
        </w:tc>
        <w:tc>
          <w:tcPr>
            <w:tcW w:type="dxa" w:w="6238"/>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6か月以上は配慮が義務、未満は努力義務です。申出に応じ可能な範囲で検討・実施します。</w:t>
            </w:r>
          </w:p>
        </w:tc>
      </w:tr>
      <w:tr>
        <w:tc>
          <w:tcPr>
            <w:tcW w:type="dxa" w:w="3400"/>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契約書に解除条項があれば突然終了してよいですか？</w:t>
            </w:r>
          </w:p>
        </w:tc>
        <w:tc>
          <w:tcPr>
            <w:tcW w:type="dxa" w:w="6238"/>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6か月以上は原則30日前予告・理由開示が必要です。例外該当性は慎重に判断します。</w:t>
            </w:r>
          </w:p>
        </w:tc>
      </w:tr>
      <w:tr>
        <w:tc>
          <w:tcPr>
            <w:tcW w:type="dxa" w:w="3400"/>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違反かどうかをAIに判断させてよいですか？</w:t>
            </w:r>
          </w:p>
        </w:tc>
        <w:tc>
          <w:tcPr>
            <w:tcW w:type="dxa" w:w="6238"/>
            <w:shd w:fill="F4F7FA" w:val="clear"/>
            <w:tcMar>
              <w:top w:type="dxa" w:w="50"/>
              <w:left w:type="dxa" w:w="110"/>
              <w:bottom w:type="dxa" w:w="50"/>
              <w:right w:type="dxa" w:w="110"/>
            </w:tcMar>
            <w:vAlign w:val="center"/>
          </w:tcPr>
          <w:p>
            <w:pPr>
              <w:spacing w:after="0" w:before="0" w:line="240"/>
            </w:pPr>
            <w:r>
              <w:rPr>
                <w:rFonts w:ascii="Meiryo" w:cs="Meiryo" w:eastAsia="Meiryo" w:hAnsi="Meiryo"/>
                <w:b w:val="false"/>
                <w:bCs w:val="false"/>
                <w:i w:val="false"/>
                <w:iCs w:val="false"/>
                <w:color w:val="263238"/>
                <w:sz w:val="18"/>
                <w:szCs w:val="18"/>
              </w:rPr>
              <w:t xml:space="preserve">AIは下書き・整理の補助にとどめ、該当性・違反該当性・労働者性の最終判断はしません。</w:t>
            </w:r>
          </w:p>
        </w:tc>
      </w:tr>
    </w:tbl>
    <w:p>
      <w:pPr>
        <w:pStyle w:val="Heading1"/>
        <w:keepNext/>
        <w:keepLines/>
        <w:pBdr>
          <w:bottom w:val="single" w:color="B58A3A" w:sz="14" w:space="4"/>
        </w:pBdr>
        <w:spacing w:after="120" w:before="220"/>
      </w:pPr>
      <w:r>
        <w:rPr>
          <w:rFonts w:ascii="Meiryo" w:cs="Meiryo" w:eastAsia="Meiryo" w:hAnsi="Meiryo"/>
          <w:b/>
          <w:bCs/>
          <w:i w:val="false"/>
          <w:iCs w:val="false"/>
          <w:color w:val="16314F"/>
          <w:sz w:val="28"/>
          <w:szCs w:val="28"/>
        </w:rPr>
        <w:t xml:space="preserve">10. 発注前セルフチェック（10問）</w:t>
      </w:r>
    </w:p>
    <w:p>
      <w:pPr>
        <w:spacing w:after="50" w:before="0" w:line="264"/>
      </w:pPr>
      <w:r>
        <w:rPr>
          <w:rFonts w:ascii="Meiryo" w:cs="Meiryo" w:eastAsia="Meiryo" w:hAnsi="Meiryo"/>
          <w:b w:val="false"/>
          <w:bCs w:val="false"/>
          <w:i w:val="false"/>
          <w:iCs w:val="false"/>
          <w:color w:val="263238"/>
          <w:sz w:val="21"/>
          <w:szCs w:val="21"/>
        </w:rPr>
        <w:t xml:space="preserve">発注の前に、次の10項目を確認してください（チェックリスト・ツールキットと併用）。</w:t>
      </w:r>
    </w:p>
    <w:p>
      <w:pPr>
        <w:pStyle w:val="ListParagraph"/>
        <w:numPr>
          <w:ilvl w:val="0"/>
          <w:numId w:val="4"/>
        </w:numPr>
        <w:spacing w:after="64" w:line="260"/>
      </w:pPr>
      <w:r>
        <w:rPr>
          <w:rFonts w:ascii="Meiryo" w:cs="Meiryo" w:eastAsia="Meiryo" w:hAnsi="Meiryo"/>
          <w:b w:val="false"/>
          <w:bCs w:val="false"/>
          <w:i w:val="false"/>
          <w:iCs w:val="false"/>
          <w:color w:val="263238"/>
          <w:sz w:val="21"/>
          <w:szCs w:val="21"/>
        </w:rPr>
        <w:t xml:space="preserve">相手がフリーランス（従業員を使用しない事業者）か確認したか</w:t>
      </w:r>
    </w:p>
    <w:p>
      <w:pPr>
        <w:pStyle w:val="ListParagraph"/>
        <w:numPr>
          <w:ilvl w:val="0"/>
          <w:numId w:val="4"/>
        </w:numPr>
        <w:spacing w:after="64" w:line="260"/>
      </w:pPr>
      <w:r>
        <w:rPr>
          <w:rFonts w:ascii="Meiryo" w:cs="Meiryo" w:eastAsia="Meiryo" w:hAnsi="Meiryo"/>
          <w:b w:val="false"/>
          <w:bCs w:val="false"/>
          <w:i w:val="false"/>
          <w:iCs w:val="false"/>
          <w:color w:val="263238"/>
          <w:sz w:val="21"/>
          <w:szCs w:val="21"/>
        </w:rPr>
        <w:t xml:space="preserve">委託期間が1か月以上／6か月以上かを把握したか</w:t>
      </w:r>
    </w:p>
    <w:p>
      <w:pPr>
        <w:pStyle w:val="ListParagraph"/>
        <w:numPr>
          <w:ilvl w:val="0"/>
          <w:numId w:val="4"/>
        </w:numPr>
        <w:spacing w:after="64" w:line="260"/>
      </w:pPr>
      <w:r>
        <w:rPr>
          <w:rFonts w:ascii="Meiryo" w:cs="Meiryo" w:eastAsia="Meiryo" w:hAnsi="Meiryo"/>
          <w:b w:val="false"/>
          <w:bCs w:val="false"/>
          <w:i w:val="false"/>
          <w:iCs w:val="false"/>
          <w:color w:val="263238"/>
          <w:sz w:val="21"/>
          <w:szCs w:val="21"/>
        </w:rPr>
        <w:t xml:space="preserve">8つの取引条件（名称・委託日・内容・納期・場所・検収・報酬と支払期日・支払方法）を明示したか</w:t>
      </w:r>
    </w:p>
    <w:p>
      <w:pPr>
        <w:pStyle w:val="ListParagraph"/>
        <w:numPr>
          <w:ilvl w:val="0"/>
          <w:numId w:val="4"/>
        </w:numPr>
        <w:spacing w:after="64" w:line="260"/>
      </w:pPr>
      <w:r>
        <w:rPr>
          <w:rFonts w:ascii="Meiryo" w:cs="Meiryo" w:eastAsia="Meiryo" w:hAnsi="Meiryo"/>
          <w:b w:val="false"/>
          <w:bCs w:val="false"/>
          <w:i w:val="false"/>
          <w:iCs w:val="false"/>
          <w:color w:val="263238"/>
          <w:sz w:val="21"/>
          <w:szCs w:val="21"/>
        </w:rPr>
        <w:t xml:space="preserve">知財の譲渡・許諾範囲を明示したか</w:t>
      </w:r>
    </w:p>
    <w:p>
      <w:pPr>
        <w:pStyle w:val="ListParagraph"/>
        <w:numPr>
          <w:ilvl w:val="0"/>
          <w:numId w:val="4"/>
        </w:numPr>
        <w:spacing w:after="64" w:line="260"/>
      </w:pPr>
      <w:r>
        <w:rPr>
          <w:rFonts w:ascii="Meiryo" w:cs="Meiryo" w:eastAsia="Meiryo" w:hAnsi="Meiryo"/>
          <w:b w:val="false"/>
          <w:bCs w:val="false"/>
          <w:i w:val="false"/>
          <w:iCs w:val="false"/>
          <w:color w:val="263238"/>
          <w:sz w:val="21"/>
          <w:szCs w:val="21"/>
        </w:rPr>
        <w:t xml:space="preserve">支払期日を受領日起算60日以内の具体的な日で定めたか</w:t>
      </w:r>
    </w:p>
    <w:p>
      <w:pPr>
        <w:pStyle w:val="ListParagraph"/>
        <w:numPr>
          <w:ilvl w:val="0"/>
          <w:numId w:val="4"/>
        </w:numPr>
        <w:spacing w:after="64" w:line="260"/>
      </w:pPr>
      <w:r>
        <w:rPr>
          <w:rFonts w:ascii="Meiryo" w:cs="Meiryo" w:eastAsia="Meiryo" w:hAnsi="Meiryo"/>
          <w:b w:val="false"/>
          <w:bCs w:val="false"/>
          <w:i w:val="false"/>
          <w:iCs w:val="false"/>
          <w:color w:val="263238"/>
          <w:sz w:val="21"/>
          <w:szCs w:val="21"/>
        </w:rPr>
        <w:t xml:space="preserve">減額・受領拒否・返品・買いたたき・強制・不当な要請・不当なやり直しをしていないか</w:t>
      </w:r>
    </w:p>
    <w:p>
      <w:pPr>
        <w:pStyle w:val="ListParagraph"/>
        <w:numPr>
          <w:ilvl w:val="0"/>
          <w:numId w:val="4"/>
        </w:numPr>
        <w:spacing w:after="64" w:line="260"/>
      </w:pPr>
      <w:r>
        <w:rPr>
          <w:rFonts w:ascii="Meiryo" w:cs="Meiryo" w:eastAsia="Meiryo" w:hAnsi="Meiryo"/>
          <w:b w:val="false"/>
          <w:bCs w:val="false"/>
          <w:i w:val="false"/>
          <w:iCs w:val="false"/>
          <w:color w:val="263238"/>
          <w:sz w:val="21"/>
          <w:szCs w:val="21"/>
        </w:rPr>
        <w:t xml:space="preserve">募集情報は正確・最新で、6項目を満たしているか</w:t>
      </w:r>
    </w:p>
    <w:p>
      <w:pPr>
        <w:pStyle w:val="ListParagraph"/>
        <w:numPr>
          <w:ilvl w:val="0"/>
          <w:numId w:val="4"/>
        </w:numPr>
        <w:spacing w:after="64" w:line="260"/>
      </w:pPr>
      <w:r>
        <w:rPr>
          <w:rFonts w:ascii="Meiryo" w:cs="Meiryo" w:eastAsia="Meiryo" w:hAnsi="Meiryo"/>
          <w:b w:val="false"/>
          <w:bCs w:val="false"/>
          <w:i w:val="false"/>
          <w:iCs w:val="false"/>
          <w:color w:val="263238"/>
          <w:sz w:val="21"/>
          <w:szCs w:val="21"/>
        </w:rPr>
        <w:t xml:space="preserve">ハラスメント相談窓口をフリーランスにも案内しているか</w:t>
      </w:r>
    </w:p>
    <w:p>
      <w:pPr>
        <w:pStyle w:val="ListParagraph"/>
        <w:numPr>
          <w:ilvl w:val="0"/>
          <w:numId w:val="4"/>
        </w:numPr>
        <w:spacing w:after="64" w:line="260"/>
      </w:pPr>
      <w:r>
        <w:rPr>
          <w:rFonts w:ascii="Meiryo" w:cs="Meiryo" w:eastAsia="Meiryo" w:hAnsi="Meiryo"/>
          <w:b w:val="false"/>
          <w:bCs w:val="false"/>
          <w:i w:val="false"/>
          <w:iCs w:val="false"/>
          <w:color w:val="263238"/>
          <w:sz w:val="21"/>
          <w:szCs w:val="21"/>
        </w:rPr>
        <w:t xml:space="preserve">6か月以上の場合、配慮・30日前予告・理由開示に注意したか</w:t>
      </w:r>
    </w:p>
    <w:p>
      <w:pPr>
        <w:pStyle w:val="ListParagraph"/>
        <w:numPr>
          <w:ilvl w:val="0"/>
          <w:numId w:val="4"/>
        </w:numPr>
        <w:spacing w:after="64" w:line="260"/>
      </w:pPr>
      <w:r>
        <w:rPr>
          <w:rFonts w:ascii="Meiryo" w:cs="Meiryo" w:eastAsia="Meiryo" w:hAnsi="Meiryo"/>
          <w:b w:val="false"/>
          <w:bCs w:val="false"/>
          <w:i w:val="false"/>
          <w:iCs w:val="false"/>
          <w:color w:val="263238"/>
          <w:sz w:val="21"/>
          <w:szCs w:val="21"/>
        </w:rPr>
        <w:t xml:space="preserve">労働者性が問題になり得ないか／迷えば法務・人事・購買に相談したか</w:t>
      </w:r>
    </w:p>
    <w:p>
      <w:pPr>
        <w:spacing w:after="120" w:before="0" w:line="264"/>
      </w:pPr>
      <w:r>
        <w:rPr>
          <w:rFonts w:ascii="Meiryo" w:cs="Meiryo" w:eastAsia="Meiryo" w:hAnsi="Meiryo"/>
          <w:b w:val="false"/>
          <w:bCs w:val="false"/>
          <w:i w:val="false"/>
          <w:iCs w:val="false"/>
          <w:color w:val="263238"/>
          <w:sz w:val="21"/>
          <w:szCs w:val="21"/>
        </w:rPr>
        <w:t xml:space="preserve"/>
      </w:r>
    </w:p>
    <w:p>
      <w:pPr>
        <w:pStyle w:val="Heading2"/>
        <w:keepNext/>
        <w:keepLines/>
        <w:spacing w:after="80" w:before="170"/>
      </w:pPr>
      <w:r>
        <w:rPr>
          <w:rFonts w:ascii="Meiryo" w:cs="Meiryo" w:eastAsia="Meiryo" w:hAnsi="Meiryo"/>
          <w:b/>
          <w:bCs/>
          <w:i w:val="false"/>
          <w:iCs w:val="false"/>
          <w:color w:val="243B53"/>
          <w:sz w:val="23"/>
          <w:szCs w:val="23"/>
        </w:rPr>
        <w:t xml:space="preserve">参考資料（一次資料・公的資料）</w:t>
      </w:r>
    </w:p>
    <w:p>
      <w:pPr>
        <w:spacing w:after="60" w:before="0" w:line="264"/>
      </w:pPr>
      <w:r>
        <w:rPr>
          <w:rFonts w:ascii="Meiryo" w:cs="Meiryo" w:eastAsia="Meiryo" w:hAnsi="Meiryo"/>
          <w:b w:val="false"/>
          <w:bCs w:val="false"/>
          <w:i w:val="false"/>
          <w:iCs w:val="false"/>
          <w:color w:val="263238"/>
          <w:sz w:val="19"/>
          <w:szCs w:val="19"/>
        </w:rPr>
        <w:t xml:space="preserve">民間の解説記事だけに依存せず、必ず次の一次資料・公的資料の最新版を確認してください。</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厚生労働省「フリーランスとして業務を行う方・フリーランスの方に業務を委託する事業者の方等へ」</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公正取引委員会「フリーランスの取引適正化に向けた公正取引委員会の取組」／フリーランス法特設サイト</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e-Gov法令検索「特定受託事業者に係る取引の適正化等に関する法律」（令和5年法律第25号）</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公正取引委員会・厚生労働省「特定受託事業者に係る取引の適正化等に関する法律の考え方」（解釈ガイドライン）</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厚生労働省「特定業務委託事業者が募集情報の的確な表示・育児介護等への配慮・ハラスメント対策等に関して講ずべき措置等に関する指針」</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内閣官房「特定受託事業者に係る取引の適正化等に関する法律等に係る取組について」</w:t>
      </w:r>
    </w:p>
    <w:p>
      <w:pPr>
        <w:pStyle w:val="Heading2"/>
        <w:keepNext/>
        <w:keepLines/>
        <w:spacing w:after="80" w:before="170"/>
      </w:pPr>
      <w:r>
        <w:rPr>
          <w:rFonts w:ascii="Meiryo" w:cs="Meiryo" w:eastAsia="Meiryo" w:hAnsi="Meiryo"/>
          <w:b/>
          <w:bCs/>
          <w:i w:val="false"/>
          <w:iCs w:val="false"/>
          <w:color w:val="243B53"/>
          <w:sz w:val="23"/>
          <w:szCs w:val="23"/>
        </w:rPr>
        <w:t xml:space="preserve">注意事項</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B58A3A" w:sz="6"/>
              <w:left w:val="single" w:color="B58A3A" w:sz="18"/>
              <w:bottom w:val="single" w:color="B58A3A" w:sz="6"/>
              <w:right w:val="single" w:color="B58A3A" w:sz="6"/>
            </w:tcBorders>
            <w:shd w:fill="F5EEDF" w:val="clear"/>
            <w:tcMar>
              <w:top w:type="dxa" w:w="110"/>
              <w:left w:type="dxa" w:w="160"/>
              <w:bottom w:type="dxa" w:w="110"/>
              <w:right w:type="dxa" w:w="160"/>
            </w:tcMar>
          </w:tcPr>
          <w:p>
            <w:pPr>
              <w:spacing w:after="60" w:before="0" w:line="264"/>
            </w:pPr>
            <w:r>
              <w:rPr>
                <w:rFonts w:ascii="Meiryo" w:cs="Meiryo" w:eastAsia="Meiryo" w:hAnsi="Meiryo"/>
                <w:b/>
                <w:bCs/>
                <w:i w:val="false"/>
                <w:iCs w:val="false"/>
                <w:color w:val="B58A3A"/>
                <w:sz w:val="21"/>
                <w:szCs w:val="21"/>
              </w:rPr>
              <w:t xml:space="preserve">本資料の位置付け</w:t>
            </w:r>
          </w:p>
          <w:p>
            <w:pPr>
              <w:spacing w:after="50" w:before="0" w:line="264"/>
            </w:pPr>
            <w:r>
              <w:rPr>
                <w:rFonts w:ascii="Meiryo" w:cs="Meiryo" w:eastAsia="Meiryo" w:hAnsi="Meiryo"/>
                <w:b w:val="false"/>
                <w:bCs w:val="false"/>
                <w:i w:val="false"/>
                <w:iCs w:val="false"/>
                <w:color w:val="263238"/>
                <w:sz w:val="20"/>
                <w:szCs w:val="20"/>
              </w:rPr>
              <w:t xml:space="preserve">本資料は社員教育を目的とした一般的な解説であり、特定の事案に対する法的助言ではありません。</w:t>
            </w:r>
          </w:p>
          <w:p>
            <w:pPr>
              <w:spacing w:after="50" w:before="0" w:line="264"/>
            </w:pPr>
            <w:r>
              <w:rPr>
                <w:rFonts w:ascii="Meiryo" w:cs="Meiryo" w:eastAsia="Meiryo" w:hAnsi="Meiryo"/>
                <w:b w:val="false"/>
                <w:bCs w:val="false"/>
                <w:i w:val="false"/>
                <w:iCs w:val="false"/>
                <w:color w:val="263238"/>
                <w:sz w:val="20"/>
                <w:szCs w:val="20"/>
              </w:rPr>
              <w:t xml:space="preserve">フリーランス法該当性・違反該当性・労働者性・ハラスメント該当性・行政対応は、現場担当者やAIが最終判断するものではありません。</w:t>
            </w:r>
          </w:p>
          <w:p>
            <w:pPr>
              <w:spacing w:after="50" w:before="0" w:line="264"/>
            </w:pPr>
            <w:r>
              <w:rPr>
                <w:rFonts w:ascii="Meiryo" w:cs="Meiryo" w:eastAsia="Meiryo" w:hAnsi="Meiryo"/>
                <w:b w:val="false"/>
                <w:bCs w:val="false"/>
                <w:i w:val="false"/>
                <w:iCs w:val="false"/>
                <w:color w:val="263238"/>
                <w:sz w:val="20"/>
                <w:szCs w:val="20"/>
              </w:rPr>
              <w:t xml:space="preserve">個別案件では、フリーランスの氏名・報酬額・契約書全文・相談内容・個人情報・営業秘密をそのまま外部AIへ入力せず、匿名化・マスキングを行い、自社承認済み環境と人による確認を前提としてください。</w:t>
            </w:r>
          </w:p>
          <w:p>
            <w:pPr>
              <w:spacing w:after="0" w:before="0" w:line="264"/>
            </w:pPr>
            <w:r>
              <w:rPr>
                <w:rFonts w:ascii="Meiryo" w:cs="Meiryo" w:eastAsia="Meiryo" w:hAnsi="Meiryo"/>
                <w:b w:val="false"/>
                <w:bCs w:val="false"/>
                <w:i w:val="false"/>
                <w:iCs w:val="false"/>
                <w:color w:val="263238"/>
                <w:sz w:val="20"/>
                <w:szCs w:val="20"/>
              </w:rPr>
              <w:t xml:space="preserve">本研修だけでフリーランス法対応体制が完成するわけではありません。社内規程と関係部門・専門家への相談で補完してください。</w:t>
            </w:r>
          </w:p>
        </w:tc>
      </w:tr>
    </w:tbl>
    <w:sectPr>
      <w:footerReference w:type="default" r:id="rId7"/>
      <w:pgSz w:w="11906" w:h="16838" w:orient="portrait"/>
      <w:pgMar w:top="1134" w:right="1134" w:bottom="1134" w:left="1134"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A" w:sz="4" w:space="4"/>
      </w:pBdr>
      <w:tabs>
        <w:tab w:val="right" w:pos="9638"/>
      </w:tabs>
    </w:pPr>
    <w:r>
      <w:rPr>
        <w:rFonts w:ascii="Meiryo" w:cs="Meiryo" w:eastAsia="Meiryo" w:hAnsi="Meiryo"/>
        <w:b w:val="false"/>
        <w:bCs w:val="false"/>
        <w:i w:val="false"/>
        <w:iCs w:val="false"/>
        <w:color w:val="5B6770"/>
        <w:sz w:val="15"/>
        <w:szCs w:val="15"/>
      </w:rPr>
      <w:t xml:space="preserve">Legal GPT｜第18回 フリーランス法研修　ハンドブック</w:t>
    </w:r>
    <w:r>
      <w:rPr>
        <w:rFonts w:ascii="Meiryo" w:cs="Meiryo" w:eastAsia="Meiryo" w:hAnsi="Meiryo"/>
      </w:rPr>
      <w:t xml:space="preserve">	</w:t>
    </w:r>
    <w:r>
      <w:rPr>
        <w:rFonts w:ascii="Meiryo" w:cs="Meiryo" w:eastAsia="Meiryo" w:hAnsi="Meiryo"/>
        <w:color w:val="5B6770"/>
        <w:sz w:val="15"/>
        <w:szCs w:val="15"/>
      </w:rPr>
      <w:t xml:space="preserve"/>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B58A3A"/>
      </w:rPr>
    </w:lvl>
    <w:lvl w:ilvl="1" w15:tentative="1">
      <w:start w:val="1"/>
      <w:numFmt w:val="bullet"/>
      <w:lvlText w:val="‒"/>
      <w:lvlJc w:val="left"/>
      <w:pPr>
        <w:ind w:left="880" w:hanging="260"/>
      </w:pPr>
    </w:lvl>
  </w:abstractNum>
  <w:abstractNum w:abstractNumId="3" w15:restartNumberingAfterBreak="0">
    <w:multiLevelType w:val="hybridMultilevel"/>
    <w:lvl w:ilvl="0" w15:tentative="1">
      <w:start w:val="1"/>
      <w:numFmt w:val="bullet"/>
      <w:lvlText w:val="☐"/>
      <w:lvlJc w:val="left"/>
      <w:pPr>
        <w:ind w:left="460" w:hanging="300"/>
      </w:pPr>
      <w:rPr>
        <w:color w:val="243B53"/>
      </w:rPr>
    </w:lvl>
  </w:abstractNum>
  <w:abstractNum w:abstractNumId="4" w15:restartNumberingAfterBreak="0">
    <w:multiLevelType w:val="hybridMultilevel"/>
    <w:lvl w:ilvl="0" w15:tentative="1">
      <w:start w:val="1"/>
      <w:numFmt w:val="decimal"/>
      <w:lvlText w:val="%1."/>
      <w:lvlJc w:val="left"/>
      <w:pPr>
        <w:ind w:left="470" w:hanging="330"/>
      </w:pPr>
    </w:lvl>
  </w:abstractNum>
  <w:abstractNum w:abstractNumId="5" w15:restartNumberingAfterBreak="0">
    <w:multiLevelType w:val="hybridMultilevel"/>
    <w:lvl w:ilvl="0" w15:tentative="1">
      <w:start w:val="1"/>
      <w:numFmt w:val="decimal"/>
      <w:lvlText w:val="%1."/>
      <w:lvlJc w:val="left"/>
      <w:pPr>
        <w:ind w:left="470" w:hanging="330"/>
      </w:pPr>
    </w:lvl>
  </w:abstractNum>
  <w:num w:numId="1">
    <w:abstractNumId w:val="1"/>
    <w:lvlOverride w:ilvl="0">
      <w:startOverride w:val="1"/>
    </w:lvlOverride>
  </w:num>
  <w:num w:numId="2">
    <w:abstractNumId w:val="2"/>
    <w:lvlOverride w:ilvl="0">
      <w:startOverride w:val="1"/>
    </w:lvlOverride>
  </w:num>
  <w:num w:numId="3">
    <w:abstractNumId w:val="4"/>
    <w:lvlOverride w:ilvl="0">
      <w:startOverride w:val="1"/>
    </w:lvlOverride>
  </w:num>
  <w:num w:numId="4">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20"/>
      <w:outlineLvl w:val="0"/>
    </w:pPr>
    <w:rPr>
      <w:rFonts w:ascii="Meiryo" w:cs="Meiryo" w:eastAsia="Meiryo" w:hAnsi="Meiryo"/>
      <w:b/>
      <w:bCs/>
      <w:color w:val="16314F"/>
      <w:sz w:val="28"/>
      <w:szCs w:val="28"/>
    </w:rPr>
  </w:style>
  <w:style w:type="paragraph" w:styleId="Heading2">
    <w:name w:val="Heading 2"/>
    <w:basedOn w:val="Normal"/>
    <w:next w:val="Normal"/>
    <w:qFormat/>
    <w:pPr>
      <w:spacing w:after="80" w:before="170"/>
      <w:outlineLvl w:val="1"/>
    </w:pPr>
    <w:rPr>
      <w:rFonts w:ascii="Meiryo" w:cs="Meiryo" w:eastAsia="Meiryo" w:hAnsi="Meiryo"/>
      <w:b/>
      <w:bCs/>
      <w:color w:val="243B53"/>
      <w:sz w:val="23"/>
      <w:szCs w:val="23"/>
    </w:rPr>
  </w:style>
  <w:style w:type="paragraph" w:styleId="Heading3">
    <w:name w:val="Heading 3"/>
    <w:basedOn w:val="Normal"/>
    <w:next w:val="Normal"/>
    <w:qFormat/>
    <w:pPr>
      <w:spacing w:after="60" w:before="120"/>
      <w:outlineLvl w:val="2"/>
    </w:pPr>
    <w:rPr>
      <w:rFonts w:ascii="Meiryo" w:cs="Meiryo" w:eastAsia="Meiryo" w:hAnsi="Meiryo"/>
      <w:b/>
      <w:bCs/>
      <w:color w:val="237A75"/>
      <w:sz w:val="21"/>
      <w:szCs w:val="21"/>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2026-06-23T04:27:48.133Z</dcterms:created>
  <dcterms:modified xsi:type="dcterms:W3CDTF">2026-06-23T04:27:48.146Z</dcterms:modified>
</cp:coreProperties>
</file>

<file path=docProps/custom.xml><?xml version="1.0" encoding="utf-8"?>
<Properties xmlns="http://schemas.openxmlformats.org/officeDocument/2006/custom-properties" xmlns:vt="http://schemas.openxmlformats.org/officeDocument/2006/docPropsVTypes"/>
</file>