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0" w:line="264"/>
      </w:pPr>
      <w:r>
        <w:rPr>
          <w:rFonts w:ascii="Meiryo" w:cs="Meiryo" w:eastAsia="Meiryo" w:hAnsi="Meiryo"/>
          <w:b/>
          <w:bCs/>
          <w:i w:val="false"/>
          <w:iCs w:val="false"/>
          <w:color w:val="B58A3A"/>
          <w:sz w:val="19"/>
          <w:szCs w:val="19"/>
        </w:rPr>
        <w:t xml:space="preserve">法務・総務のための社内研修資料20選</w:t>
      </w:r>
    </w:p>
    <w:p>
      <w:pPr>
        <w:spacing w:after="60" w:before="0" w:line="264"/>
      </w:pPr>
      <w:r>
        <w:rPr>
          <w:rFonts w:ascii="Meiryo" w:cs="Meiryo" w:eastAsia="Meiryo" w:hAnsi="Meiryo"/>
          <w:b/>
          <w:bCs/>
          <w:i w:val="false"/>
          <w:iCs w:val="false"/>
          <w:color w:val="16314F"/>
          <w:sz w:val="21"/>
          <w:szCs w:val="21"/>
        </w:rPr>
        <w:t xml:space="preserve">第18回　</w:t>
      </w:r>
      <w:r>
        <w:rPr>
          <w:rFonts w:ascii="Meiryo" w:cs="Meiryo" w:eastAsia="Meiryo" w:hAnsi="Meiryo"/>
          <w:b/>
          <w:bCs/>
          <w:i w:val="false"/>
          <w:iCs w:val="false"/>
          <w:color w:val="243B53"/>
          <w:sz w:val="21"/>
          <w:szCs w:val="21"/>
        </w:rPr>
        <w:t xml:space="preserve">フリーランス法研修</w:t>
      </w:r>
    </w:p>
    <w:p>
      <w:pPr>
        <w:spacing w:after="40" w:before="0" w:line="264"/>
      </w:pPr>
      <w:r>
        <w:rPr>
          <w:rFonts w:ascii="Meiryo" w:cs="Meiryo" w:eastAsia="Meiryo" w:hAnsi="Meiryo"/>
          <w:b/>
          <w:bCs/>
          <w:i w:val="false"/>
          <w:iCs w:val="false"/>
          <w:color w:val="16314F"/>
          <w:sz w:val="34"/>
          <w:szCs w:val="34"/>
        </w:rPr>
        <w:t xml:space="preserve">フリーランス法研修 講師台本</w:t>
      </w:r>
    </w:p>
    <w:p>
      <w:pPr>
        <w:spacing w:after="80" w:before="0" w:line="264"/>
      </w:pPr>
      <w:r>
        <w:rPr>
          <w:rFonts w:ascii="Meiryo" w:cs="Meiryo" w:eastAsia="Meiryo" w:hAnsi="Meiryo"/>
          <w:b w:val="false"/>
          <w:bCs w:val="false"/>
          <w:i w:val="false"/>
          <w:iCs w:val="false"/>
          <w:color w:val="243B53"/>
          <w:sz w:val="22"/>
          <w:szCs w:val="22"/>
        </w:rPr>
        <w:t xml:space="preserve">スライドごとの進行・トーク・問い・留意点（45〜55分）</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left w:val="none"/>
              <w:bottom w:val="none"/>
              <w:right w:val="none"/>
            </w:tcBorders>
            <w:shd w:fill="16314F" w:val="clear"/>
            <w:tcMar>
              <w:top w:type="dxa" w:w="90"/>
              <w:left w:type="dxa" w:w="150"/>
              <w:bottom w:type="dxa" w:w="90"/>
              <w:right w:type="dxa" w:w="150"/>
            </w:tcMar>
          </w:tcPr>
          <w:p>
            <w:pPr>
              <w:spacing w:after="30" w:before="0" w:line="240"/>
            </w:pPr>
            <w:r>
              <w:rPr>
                <w:rFonts w:ascii="Meiryo" w:cs="Meiryo" w:eastAsia="Meiryo" w:hAnsi="Meiryo"/>
                <w:b/>
                <w:bCs/>
                <w:i w:val="false"/>
                <w:iCs w:val="false"/>
                <w:color w:val="B58A3A"/>
                <w:sz w:val="19"/>
                <w:szCs w:val="19"/>
              </w:rPr>
              <w:t xml:space="preserve">対象： </w:t>
            </w:r>
            <w:r>
              <w:rPr>
                <w:rFonts w:ascii="Meiryo" w:cs="Meiryo" w:eastAsia="Meiryo" w:hAnsi="Meiryo"/>
                <w:b w:val="false"/>
                <w:bCs w:val="false"/>
                <w:i w:val="false"/>
                <w:iCs w:val="false"/>
                <w:color w:val="FFFFFF"/>
                <w:sz w:val="19"/>
                <w:szCs w:val="19"/>
              </w:rPr>
              <w:t xml:space="preserve">講師・研修運営担当</w:t>
            </w:r>
          </w:p>
          <w:p>
            <w:pPr>
              <w:spacing w:after="0" w:before="0" w:line="240"/>
            </w:pPr>
            <w:r>
              <w:rPr>
                <w:rFonts w:ascii="Meiryo" w:cs="Meiryo" w:eastAsia="Meiryo" w:hAnsi="Meiryo"/>
                <w:b/>
                <w:bCs/>
                <w:i w:val="false"/>
                <w:iCs w:val="false"/>
                <w:color w:val="B58A3A"/>
                <w:sz w:val="19"/>
                <w:szCs w:val="19"/>
              </w:rPr>
              <w:t xml:space="preserve">法令・制度基準日： </w:t>
            </w:r>
            <w:r>
              <w:rPr>
                <w:rFonts w:ascii="Meiryo" w:cs="Meiryo" w:eastAsia="Meiryo" w:hAnsi="Meiryo"/>
                <w:b w:val="false"/>
                <w:bCs w:val="false"/>
                <w:i w:val="false"/>
                <w:iCs w:val="false"/>
                <w:color w:val="FFFFFF"/>
                <w:sz w:val="19"/>
                <w:szCs w:val="19"/>
              </w:rPr>
              <w:t xml:space="preserve">2026年6月18日</w:t>
            </w:r>
            <w:r>
              <w:rPr>
                <w:rFonts w:ascii="Meiryo" w:cs="Meiryo" w:eastAsia="Meiryo" w:hAnsi="Meiryo"/>
                <w:b w:val="false"/>
                <w:bCs w:val="false"/>
                <w:i w:val="false"/>
                <w:iCs w:val="false"/>
                <w:color w:val="DCE6F0"/>
                <w:sz w:val="18"/>
                <w:szCs w:val="18"/>
              </w:rPr>
              <w:t xml:space="preserve">　　会社名／実施日／講師名：【要記入】</w:t>
            </w:r>
          </w:p>
        </w:tc>
      </w:tr>
    </w:tbl>
    <w:p>
      <w:pPr>
        <w:spacing w:after="60" w:before="90" w:line="264"/>
      </w:pPr>
      <w:r>
        <w:rPr>
          <w:rFonts w:ascii="Meiryo" w:cs="Meiryo" w:eastAsia="Meiryo" w:hAnsi="Meiryo"/>
          <w:b w:val="false"/>
          <w:bCs w:val="false"/>
          <w:i/>
          <w:iCs/>
          <w:color w:val="5B6770"/>
          <w:sz w:val="17"/>
          <w:szCs w:val="17"/>
        </w:rPr>
        <w:t xml:space="preserve">本資料はフリーランス法対応の出発点です。フリーランス法該当性・違反該当性・労働者性・行政対応の最終判断は、社内規程及び法務・人事・購買・経理・コンプライアンス・専門家への相談を前提としてください。</w:t>
      </w:r>
    </w:p>
    <w:p>
      <w:pPr>
        <w:pBdr>
          <w:bottom w:val="single" w:color="B58A3A" w:sz="8" w:space="4"/>
        </w:pBdr>
        <w:spacing w:after="120"/>
      </w:pPr>
      <w:r>
        <w:rPr>
          <w:rFonts w:ascii="Meiryo" w:cs="Meiryo" w:eastAsia="Meiryo" w:hAnsi="Meiryo"/>
          <w:b w:val="false"/>
          <w:bCs w:val="false"/>
          <w:i w:val="false"/>
          <w:iCs w:val="false"/>
          <w:color w:val="263238"/>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237A75" w:sz="6"/>
              <w:left w:val="single" w:color="237A75" w:sz="18"/>
              <w:bottom w:val="single" w:color="237A75" w:sz="6"/>
              <w:right w:val="single" w:color="237A75" w:sz="6"/>
            </w:tcBorders>
            <w:shd w:fill="E3EFEE"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237A75"/>
                <w:sz w:val="21"/>
                <w:szCs w:val="21"/>
              </w:rPr>
              <w:t xml:space="preserve">台本の前提</w:t>
            </w:r>
          </w:p>
          <w:p>
            <w:pPr>
              <w:spacing w:after="50" w:before="0" w:line="264"/>
            </w:pPr>
            <w:r>
              <w:rPr>
                <w:rFonts w:ascii="Meiryo" w:cs="Meiryo" w:eastAsia="Meiryo" w:hAnsi="Meiryo"/>
                <w:b w:val="false"/>
                <w:bCs w:val="false"/>
                <w:i w:val="false"/>
                <w:iCs w:val="false"/>
                <w:color w:val="263238"/>
                <w:sz w:val="20"/>
                <w:szCs w:val="20"/>
              </w:rPr>
              <w:t xml:space="preserve">想定時間は合計45〜55分です。ケース討議や発注前チェックシート演習を追加すると70〜80分に拡張できます（末尾参照）。</w:t>
            </w:r>
          </w:p>
          <w:p>
            <w:pPr>
              <w:spacing w:after="50" w:before="0" w:line="264"/>
            </w:pPr>
            <w:r>
              <w:rPr>
                <w:rFonts w:ascii="Meiryo" w:cs="Meiryo" w:eastAsia="Meiryo" w:hAnsi="Meiryo"/>
                <w:b w:val="false"/>
                <w:bCs w:val="false"/>
                <w:i w:val="false"/>
                <w:iCs w:val="false"/>
                <w:color w:val="263238"/>
                <w:sz w:val="20"/>
                <w:szCs w:val="20"/>
              </w:rPr>
              <w:t xml:space="preserve">本研修はフリーランスへの発注を一律に避けるためのものではなく、取引適正化と就業環境整備を発注実務に落とすことが目的です。</w:t>
            </w:r>
          </w:p>
          <w:p>
            <w:pPr>
              <w:spacing w:after="0" w:before="0" w:line="264"/>
            </w:pPr>
            <w:r>
              <w:rPr>
                <w:rFonts w:ascii="Meiryo" w:cs="Meiryo" w:eastAsia="Meiryo" w:hAnsi="Meiryo"/>
                <w:b w:val="false"/>
                <w:bCs w:val="false"/>
                <w:i w:val="false"/>
                <w:iCs w:val="false"/>
                <w:color w:val="263238"/>
                <w:sz w:val="20"/>
                <w:szCs w:val="20"/>
              </w:rPr>
              <w:t xml:space="preserve">講師は「法令上の義務／自社ルール／推奨実務」を区別して説明し、該当性・違反該当性・労働者性を断定しないでください。</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1. スライド別台本</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スライド1　表紙</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研修の位置付けを共有する。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第18回フリーランス法研修です。フリーランスへの発注をやめる研修ではなく、安心して発注し、適正に取引するための研修だと最初に伝えます。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フリーランスへの発注で不安に感じることは？</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支払・修正・契約・解除など</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結論を急がない。基準日（2026年6月18日）を示し、最新情報は一次資料で確認すると述べる。</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本日のゴールへ。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スライド2　本日のゴール</w:t>
      </w:r>
      <w:r>
        <w:rPr>
          <w:rFonts w:ascii="Meiryo" w:cs="Meiryo" w:eastAsia="Meiryo" w:hAnsi="Meiryo"/>
          <w:b w:val="false"/>
          <w:bCs w:val="false"/>
          <w:i w:val="false"/>
          <w:iCs w:val="false"/>
          <w:color w:val="5B6770"/>
          <w:sz w:val="17"/>
          <w:szCs w:val="17"/>
        </w:rPr>
        <w:t xml:space="preserve">　（目安 1.5分）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到達目標を共有する。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5つのゴールを読み上げ、暗記ではなく現場の行動（明示・記録・支払・相談・報告）に落とすことを強調します。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導入ケースで具体的に考える。</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スライド3　導入ケース：無償追加修正</w:t>
      </w:r>
      <w:r>
        <w:rPr>
          <w:rFonts w:ascii="Meiryo" w:cs="Meiryo" w:eastAsia="Meiryo" w:hAnsi="Meiryo"/>
          <w:b w:val="false"/>
          <w:bCs w:val="false"/>
          <w:i w:val="false"/>
          <w:iCs w:val="false"/>
          <w:color w:val="5B6770"/>
          <w:sz w:val="17"/>
          <w:szCs w:val="17"/>
        </w:rPr>
        <w:t xml:space="preserve">　（目安 2分）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自分ごととして考えさせる。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LP制作を曖昧に発注し、無償で全面修正を求めたい場面です。すぐ正解を出さず、明示・記録・協議・相談の型を後で学ぶと予告します。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この発注は適切でしたか？</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条件が曖昧／無償やり直しは問題かも</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ここで結論を断定しない。</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研修の目的へ。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スライド4　この研修は何のためか</w:t>
      </w:r>
      <w:r>
        <w:rPr>
          <w:rFonts w:ascii="Meiryo" w:cs="Meiryo" w:eastAsia="Meiryo" w:hAnsi="Meiryo"/>
          <w:b w:val="false"/>
          <w:bCs w:val="false"/>
          <w:i w:val="false"/>
          <w:iCs w:val="false"/>
          <w:color w:val="5B6770"/>
          <w:sz w:val="17"/>
          <w:szCs w:val="17"/>
        </w:rPr>
        <w:t xml:space="preserve">　（目安 1.5分）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研修の姿勢を明確化する。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目指すこと5点と、避けたい誤解5点を対比で示します。萎縮させる研修でも丸暗記でもないと伝えます。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法律の概要へ。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スライド5　フリーランス法とは</w:t>
      </w:r>
      <w:r>
        <w:rPr>
          <w:rFonts w:ascii="Meiryo" w:cs="Meiryo" w:eastAsia="Meiryo" w:hAnsi="Meiryo"/>
          <w:b w:val="false"/>
          <w:bCs w:val="false"/>
          <w:i w:val="false"/>
          <w:iCs w:val="false"/>
          <w:color w:val="5B6770"/>
          <w:sz w:val="17"/>
          <w:szCs w:val="17"/>
        </w:rPr>
        <w:t xml:space="preserve">　（目安 2分）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法律の全体像をつかむ。</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正式名称・施行日（令和6年11月1日）と、取引適正化（公取委・中企庁）と就業環境整備（厚労省）の2本柱を説明します。資本金にかかわらず広く対象です。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自部署はどの場面で関係しそう？</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発注・募集・支払・相談など</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個別の該当性は断定しない。発注以外の部署も関係すると補足。</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他回との違いへ。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スライド6　他の研修回との違い</w:t>
      </w:r>
      <w:r>
        <w:rPr>
          <w:rFonts w:ascii="Meiryo" w:cs="Meiryo" w:eastAsia="Meiryo" w:hAnsi="Meiryo"/>
          <w:b w:val="false"/>
          <w:bCs w:val="false"/>
          <w:i w:val="false"/>
          <w:iCs w:val="false"/>
          <w:color w:val="5B6770"/>
          <w:sz w:val="17"/>
          <w:szCs w:val="17"/>
        </w:rPr>
        <w:t xml:space="preserve">　（目安 1.5分）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重複を避け役割を整理する。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第17回（取適法）、第19回（契約書）、第5・6回（セクハラ）、第14・15回（接待・利益相反）との違いを示します。本回は個人フリーランスへの委託が中心です。なお取適法には資本金要件がありますが、フリーランス法にはなく、資本金にかかわらず従業員を使用すれば対象になり得ます。両方が関係する取引もあります。</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取適法とフリーランス法は重畳し得る。適用関係の詳細は第17回・法務へ。</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用語へ。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スライド7　対象者・用語の基本</w:t>
      </w:r>
      <w:r>
        <w:rPr>
          <w:rFonts w:ascii="Meiryo" w:cs="Meiryo" w:eastAsia="Meiryo" w:hAnsi="Meiryo"/>
          <w:b w:val="false"/>
          <w:bCs w:val="false"/>
          <w:i w:val="false"/>
          <w:iCs w:val="false"/>
          <w:color w:val="5B6770"/>
          <w:sz w:val="17"/>
          <w:szCs w:val="17"/>
        </w:rPr>
        <w:t xml:space="preserve">　（目安 2分）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用語を理解する。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特定受託事業者・特定受託業務従事者・業務委託事業者・特定業務委託事業者を整理します。従業員の定義（週20時間以上かつ31日以上）と副業も該当し得る点を補足します。義務の内容は、発注者が業務委託事業者か特定業務委託事業者か、期間が1か月以上・6か月以上かによって異なり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一人で受けるフリーランスはどれ？</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特定受託事業者</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該当性・区分の最終判断は現場でしない。迷えば法務・人事・購買へ。</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労働者性へ。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スライド8　業務委託契約と労働者性</w:t>
      </w:r>
      <w:r>
        <w:rPr>
          <w:rFonts w:ascii="Meiryo" w:cs="Meiryo" w:eastAsia="Meiryo" w:hAnsi="Meiryo"/>
          <w:b w:val="false"/>
          <w:bCs w:val="false"/>
          <w:i w:val="false"/>
          <w:iCs w:val="false"/>
          <w:color w:val="5B6770"/>
          <w:sz w:val="17"/>
          <w:szCs w:val="17"/>
        </w:rPr>
        <w:t xml:space="preserve">　（目安 2分）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労働者性の存在を知る。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形式が業務委託でも実態で労働者と判断され得ること、その場合は労働関係法令が適用されることを説明します。兆候（拘束・指揮命令・代替不可等）を挙げます。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雇用に近いと感じる委託はある？</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勤務時間指定・常駐など</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労働者性を現場で断定しない。フリーランス法遵守だけで足りるとは言わない。</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発注前確認へ。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スライド9　発注前に確認すること</w:t>
      </w:r>
      <w:r>
        <w:rPr>
          <w:rFonts w:ascii="Meiryo" w:cs="Meiryo" w:eastAsia="Meiryo" w:hAnsi="Meiryo"/>
          <w:b w:val="false"/>
          <w:bCs w:val="false"/>
          <w:i w:val="false"/>
          <w:iCs w:val="false"/>
          <w:color w:val="5B6770"/>
          <w:sz w:val="17"/>
          <w:szCs w:val="17"/>
        </w:rPr>
        <w:t xml:space="preserve">　（目安 1.5分）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発注前チェックの視点を持つ。</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相手・自社区分・委託内容・期間（1か月／6か月）・働かせ方・相談の6視点を確認します。期間で適用義務が変わると強調します。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取引条件明示へ。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スライド10　取引条件明示の基本</w:t>
      </w:r>
      <w:r>
        <w:rPr>
          <w:rFonts w:ascii="Meiryo" w:cs="Meiryo" w:eastAsia="Meiryo" w:hAnsi="Meiryo"/>
          <w:b w:val="false"/>
          <w:bCs w:val="false"/>
          <w:i w:val="false"/>
          <w:iCs w:val="false"/>
          <w:color w:val="5B6770"/>
          <w:sz w:val="17"/>
          <w:szCs w:val="17"/>
        </w:rPr>
        <w:t xml:space="preserve">　（目安 2分）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明示の原則を理解する。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業務委託をしたら直ちに書面・電磁的方法で明示すること、口頭では足りないことを説明します。発注書フォーマット整備が近道です。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口頭発注だけで足りる？</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足りない（書面/電磁的が必要）</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「後で決めればよい」は誤り。</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明示項目へ。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スライド11　明示すべき主な項目</w:t>
      </w:r>
      <w:r>
        <w:rPr>
          <w:rFonts w:ascii="Meiryo" w:cs="Meiryo" w:eastAsia="Meiryo" w:hAnsi="Meiryo"/>
          <w:b w:val="false"/>
          <w:bCs w:val="false"/>
          <w:i w:val="false"/>
          <w:iCs w:val="false"/>
          <w:color w:val="5B6770"/>
          <w:sz w:val="17"/>
          <w:szCs w:val="17"/>
        </w:rPr>
        <w:t xml:space="preserve">　（目安 2分）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8項目を押さえる。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8つの明示事項を確認します。知財の譲渡・許諾範囲、金額が困難な場合の算定方法、再委託の追加明示にも触れます。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抜けやすい項目は？</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支払期日・検収・知財範囲</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正確な項目は最新の法令・公的資料に従うと述べる。</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報酬支払へ。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スライド12　報酬支払・60日以内</w:t>
      </w:r>
      <w:r>
        <w:rPr>
          <w:rFonts w:ascii="Meiryo" w:cs="Meiryo" w:eastAsia="Meiryo" w:hAnsi="Meiryo"/>
          <w:b w:val="false"/>
          <w:bCs w:val="false"/>
          <w:i w:val="false"/>
          <w:iCs w:val="false"/>
          <w:color w:val="5B6770"/>
          <w:sz w:val="17"/>
          <w:szCs w:val="17"/>
        </w:rPr>
        <w:t xml:space="preserve">　（目安 2.5分）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支払ルールを理解する。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受領日起算60日以内・できる限り短い期間で支払期日を定め、期日までに支払うこと。請求書未着・検収遅れ・元委託入金遅れは理由にならないことを強調します。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請求書が来てから60日でよい？</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起算は受領日。請求書未着は理由にならない</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「受領後60日以内」など特定できない表現は避ける。</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再委託の例外へ。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スライド13　再委託の場合の例外</w:t>
      </w:r>
      <w:r>
        <w:rPr>
          <w:rFonts w:ascii="Meiryo" w:cs="Meiryo" w:eastAsia="Meiryo" w:hAnsi="Meiryo"/>
          <w:b w:val="false"/>
          <w:bCs w:val="false"/>
          <w:i w:val="false"/>
          <w:iCs w:val="false"/>
          <w:color w:val="5B6770"/>
          <w:sz w:val="17"/>
          <w:szCs w:val="17"/>
        </w:rPr>
        <w:t xml:space="preserve">　（目安 1.5分）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例外の条件を知る。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3条通知で再委託の旨・元委託者名・元委託の支払期日を明示すれば、元委託支払期日から30日以内とできます。明示しなければ原則60日です。</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入金遅れを支払遅延の言い訳にしない。</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禁止行為の全体像へ。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スライド14　1か月以上の禁止行為の全体像</w:t>
      </w:r>
      <w:r>
        <w:rPr>
          <w:rFonts w:ascii="Meiryo" w:cs="Meiryo" w:eastAsia="Meiryo" w:hAnsi="Meiryo"/>
          <w:b w:val="false"/>
          <w:bCs w:val="false"/>
          <w:i w:val="false"/>
          <w:iCs w:val="false"/>
          <w:color w:val="5B6770"/>
          <w:sz w:val="17"/>
          <w:szCs w:val="17"/>
        </w:rPr>
        <w:t xml:space="preserve">　（目安 1.5分）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7禁止行為を概観する。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1か月以上の委託で、責めがないのに7行為をしてはならないこと、本人の了承があっても違反になり得ることを示します。1か月以上は発注日から受領予定日で計算し、更新の繰り返しで通算1か月以上となる場合や1か月以上の基本契約の下での発注も含みます。</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本人同意＝適法ではない。単発・短期でも通算1か月以上なら対象。</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個別の禁止行為へ。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スライド15　受領拒否・返品（①③）</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受領拒否・返品を理解する。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責めなく受け取らない・引き取らせることが該当します。発注者都合の解除に伴う受領拒否にも注意します。</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解除に伴う受領拒否に注意。</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減額へ。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スライド16　報酬の減額（②）</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減額の禁止を理解する。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発注後に名目を問わず差し引くことは減額に該当します。手数料等の一方的控除に注意します。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本人が同意すれば減額してよい？</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同意があっても違反になり得る</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費用負担は事前に取り決め明示。</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買いたたきへ。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スライド17　買いたたき（④）</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買いたたきを理解する。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通常の対価に比べ著しく低い報酬を不当に定めることです。作業増を反映しない据え置きにも注意します。</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「著しく低い」「不当」が要件。算定根拠を残す。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購入・利用強制へ。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スライド18　購入・利用強制（⑤）</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購入・利用強制を理解する。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正当な理由なく指定物品の購入や役務の利用を強制することです。費用負担は事前に協議します。</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業務に真に必要か確認。</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利益提供要請へ。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スライド19　不当な経済上の利益提供要請（⑥）</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利益提供要請を理解する。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委託範囲を超える金銭・作業等を提供させ利益を不当に害することです。範囲外は別途協議・対価設定します。</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知財・二次利用は条件と対価を明示。</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変更・やり直しへ。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スライド20　不当な給付内容変更・やり直し（⑦）</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変更・やり直しを理解する。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受領前の内容変更（取消・解除含む）、受領後の追加作業を不当に行うことです。導入ケースに直結します。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仕様が曖昧なら無償修正を求めてよい？</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不当なやり直しに当たり得る</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変更は内容・追加報酬・納期を協議し記録。</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募集情報へ。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スライド21　募集情報の的確表示</w:t>
      </w:r>
      <w:r>
        <w:rPr>
          <w:rFonts w:ascii="Meiryo" w:cs="Meiryo" w:eastAsia="Meiryo" w:hAnsi="Meiryo"/>
          <w:b w:val="false"/>
          <w:bCs w:val="false"/>
          <w:i w:val="false"/>
          <w:iCs w:val="false"/>
          <w:color w:val="5B6770"/>
          <w:sz w:val="17"/>
          <w:szCs w:val="17"/>
        </w:rPr>
        <w:t xml:space="preserve">　（目安 2分）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募集のルールを理解する。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虚偽・誤解表示をせず正確・最新に保つこと、6項目を欠くと誤解表示に当たることを説明します。募集と実条件の差は説明・記録します。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募集は多少盛ってもよい？</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だめ（虚偽・誤解表示になり得る）</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採用・発注部門の連携が必要。</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ハラスメント対策へ。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スライド22　ハラスメント対策の体制整備</w:t>
      </w:r>
      <w:r>
        <w:rPr>
          <w:rFonts w:ascii="Meiryo" w:cs="Meiryo" w:eastAsia="Meiryo" w:hAnsi="Meiryo"/>
          <w:b w:val="false"/>
          <w:bCs w:val="false"/>
          <w:i w:val="false"/>
          <w:iCs w:val="false"/>
          <w:color w:val="5B6770"/>
          <w:sz w:val="17"/>
          <w:szCs w:val="17"/>
        </w:rPr>
        <w:t xml:space="preserve">　（目安 2分）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体制整備を理解する。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フリーランスへのセクハラ・パワハラ等を防ぐ相談体制が義務です。窓口・対応・プライバシー・不利益取扱い防止を説明します。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業務委託だから社内窓口の対象外？</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対象。窓口へつなぐ</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相談を握りつぶさない。詳細は第5・6回。</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育児介護等配慮へ。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スライド23　育児介護等との両立配慮</w:t>
      </w:r>
      <w:r>
        <w:rPr>
          <w:rFonts w:ascii="Meiryo" w:cs="Meiryo" w:eastAsia="Meiryo" w:hAnsi="Meiryo"/>
          <w:b w:val="false"/>
          <w:bCs w:val="false"/>
          <w:i w:val="false"/>
          <w:iCs w:val="false"/>
          <w:color w:val="5B6770"/>
          <w:sz w:val="17"/>
          <w:szCs w:val="17"/>
        </w:rPr>
        <w:t xml:space="preserve">　（目安 2分）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配慮義務を理解する。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6か月以上は義務、未満は努力義務です。申出を把握し可能な範囲で検討・実施、実施しない場合は理由を説明します。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業務委託に配慮は不要？</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不要ではない（6か月以上は義務）</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必ず実現する義務ではない。期間判断は独断しない。過度な時間管理・指揮命令は労働者性とみなされ得るため、配慮は納期調整やオンライン化にとどめる。</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中途解除・不更新へ。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スライド24　中途解除・不更新の予告・理由開示</w:t>
      </w:r>
      <w:r>
        <w:rPr>
          <w:rFonts w:ascii="Meiryo" w:cs="Meiryo" w:eastAsia="Meiryo" w:hAnsi="Meiryo"/>
          <w:b w:val="false"/>
          <w:bCs w:val="false"/>
          <w:i w:val="false"/>
          <w:iCs w:val="false"/>
          <w:color w:val="5B6770"/>
          <w:sz w:val="17"/>
          <w:szCs w:val="17"/>
        </w:rPr>
        <w:t xml:space="preserve">　（目安 2分）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解除予告を理解する。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6か月以上は原則30日前予告（予告日当日を含めて解除日の前日まで30日を確保。例：10月31日解除なら10月1日までに予告＝10月1日〜10月30日で30日間。公取委・厚労省Q&amp;A106の考え方）、理由開示は書面・メール等です。例外該当性は慎重に判断し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契約書に解除条項があれば突然終了してよい？</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自由終了ではない。30日前予告等に注意</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予告しても民法の規律・損害賠償は残り得る。判断は独断しない。</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初動へ。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スライド25　問題・疑いに気づいたときの初動</w:t>
      </w:r>
      <w:r>
        <w:rPr>
          <w:rFonts w:ascii="Meiryo" w:cs="Meiryo" w:eastAsia="Meiryo" w:hAnsi="Meiryo"/>
          <w:b w:val="false"/>
          <w:bCs w:val="false"/>
          <w:i w:val="false"/>
          <w:iCs w:val="false"/>
          <w:color w:val="5B6770"/>
          <w:sz w:val="17"/>
          <w:szCs w:val="17"/>
        </w:rPr>
        <w:t xml:space="preserve">　（目安 2分）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初動の型を共有する。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止める・残す・報告・相談の4ステップを示し、証拠を消さないこと、現場で最終判断しないことを強調します。</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気づいたらまず何を？</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止めて残して報告・相談</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削除・改ざん・握りつぶしは厳禁。</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ケースへ。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スライド26　ケース1：曖昧発注</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現場対応を考える。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状況を読み、検討の視点を確認し、対応の方向を共有します。明示不足。直ちに条件を書面化し記録する。</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どう対応する？</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確認・記録・相談</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結論を断定せず、相談・記録を促す。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次のケース／まとめへ。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スライド27　ケース2：検収遅れ支払遅延</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現場対応を考える。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状況を読み、検討の視点を確認し、対応の方向を共有します。検収遅れは支払遅延の理由にならない。期日管理。</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どう対応する？</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確認・記録・相談</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結論を断定せず、相談・記録を促す。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次のケース／まとめへ。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スライド28　ケース3：無償やり直し</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現場対応を考える。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状況を読み、検討の視点を確認し、対応の方向を共有します。仕様明確化と変更協議・記録。</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どう対応する？</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確認・記録・相談</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結論を断定せず、相談・記録を促す。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次のケース／まとめへ。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スライド29　ケース4：募集と実条件の差</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現場対応を考える。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状況を読み、検討の視点を確認し、対応の方向を共有します。正確な募集と説明・記録。労働者性も意識。</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どう対応する？</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確認・記録・相談</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結論を断定せず、相談・記録を促す。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次のケース／まとめへ。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スライド30　ケース5：ハラスメント相談</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現場対応を考える。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状況を読み、検討の視点を確認し、対応の方向を共有します。窓口へつなぐ。不利益取扱い防止。</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どう対応する？</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確認・記録・相談</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結論を断定せず、相談・記録を促す。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次のケース／まとめへ。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スライド31　ケース6：突然終了</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現場対応を考える。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状況を読み、検討の視点を確認し、対応の方向を共有します。30日前予告・理由開示・法務相談。</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どう対応する？</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確認・記録・相談</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結論を断定せず、相談・記録を促す。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次のケース／まとめへ。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スライド32　ケース7：労働者性</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現場対応を考える。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状況を読み、検討の視点を確認し、対応の方向を共有します。働かせ方を見直し人事・法務へ相談。</w:t>
      </w:r>
    </w:p>
    <w:p>
      <w:pPr>
        <w:spacing w:after="18" w:before="0" w:line="264"/>
      </w:pPr>
      <w:r>
        <w:rPr>
          <w:rFonts w:ascii="Meiryo" w:cs="Meiryo" w:eastAsia="Meiryo" w:hAnsi="Meiryo"/>
          <w:b/>
          <w:bCs/>
          <w:i w:val="false"/>
          <w:iCs w:val="false"/>
          <w:color w:val="B58A3A"/>
          <w:sz w:val="18"/>
          <w:szCs w:val="18"/>
        </w:rPr>
        <w:t xml:space="preserve">問い： </w:t>
      </w:r>
      <w:r>
        <w:rPr>
          <w:rFonts w:ascii="Meiryo" w:cs="Meiryo" w:eastAsia="Meiryo" w:hAnsi="Meiryo"/>
          <w:b w:val="false"/>
          <w:bCs w:val="false"/>
          <w:i w:val="false"/>
          <w:iCs w:val="false"/>
          <w:color w:val="263238"/>
          <w:sz w:val="18"/>
          <w:szCs w:val="18"/>
        </w:rPr>
        <w:t xml:space="preserve">どう対応する？</w:t>
      </w:r>
      <w:r>
        <w:rPr>
          <w:rFonts w:ascii="Meiryo" w:cs="Meiryo" w:eastAsia="Meiryo" w:hAnsi="Meiryo"/>
          <w:b/>
          <w:bCs/>
          <w:i w:val="false"/>
          <w:iCs w:val="false"/>
          <w:color w:val="5B6770"/>
          <w:sz w:val="17"/>
          <w:szCs w:val="17"/>
        </w:rPr>
        <w:t xml:space="preserve">　→ 想定回答： </w:t>
      </w:r>
      <w:r>
        <w:rPr>
          <w:rFonts w:ascii="Meiryo" w:cs="Meiryo" w:eastAsia="Meiryo" w:hAnsi="Meiryo"/>
          <w:b w:val="false"/>
          <w:bCs w:val="false"/>
          <w:i w:val="false"/>
          <w:iCs w:val="false"/>
          <w:color w:val="5B6770"/>
          <w:sz w:val="17"/>
          <w:szCs w:val="17"/>
        </w:rPr>
        <w:t xml:space="preserve">確認・記録・相談</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結論を断定せず、相談・記録を促す。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次のケース／まとめへ。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スライド33　日常行動チェックリスト</w:t>
      </w:r>
      <w:r>
        <w:rPr>
          <w:rFonts w:ascii="Meiryo" w:cs="Meiryo" w:eastAsia="Meiryo" w:hAnsi="Meiryo"/>
          <w:b w:val="false"/>
          <w:bCs w:val="false"/>
          <w:i w:val="false"/>
          <w:iCs w:val="false"/>
          <w:color w:val="5B6770"/>
          <w:sz w:val="17"/>
          <w:szCs w:val="17"/>
        </w:rPr>
        <w:t xml:space="preserve">　（目安 1分）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日々の行動に落とす。</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毎回の発注で使える8項目を確認します。配布のチェックリスト・ツールキットと対応します。</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誤解の整理へ。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スライド34　やってはいけない説明・誤解</w:t>
      </w:r>
      <w:r>
        <w:rPr>
          <w:rFonts w:ascii="Meiryo" w:cs="Meiryo" w:eastAsia="Meiryo" w:hAnsi="Meiryo"/>
          <w:b w:val="false"/>
          <w:bCs w:val="false"/>
          <w:i w:val="false"/>
          <w:iCs w:val="false"/>
          <w:color w:val="5B6770"/>
          <w:sz w:val="17"/>
          <w:szCs w:val="17"/>
        </w:rPr>
        <w:t xml:space="preserve">　（目安 1.5分）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誤解を正す。</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よくある6つの誤解を正します。該当性・違反該当性・労働者性をAIや現場が最終判断できる、も誤りだと伝えます。</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断定を避け、相談につなぐ。</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行動原則へ。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スライド35　行動原則・自社の相談先</w:t>
      </w:r>
      <w:r>
        <w:rPr>
          <w:rFonts w:ascii="Meiryo" w:cs="Meiryo" w:eastAsia="Meiryo" w:hAnsi="Meiryo"/>
          <w:b w:val="false"/>
          <w:bCs w:val="false"/>
          <w:i w:val="false"/>
          <w:iCs w:val="false"/>
          <w:color w:val="5B6770"/>
          <w:sz w:val="17"/>
          <w:szCs w:val="17"/>
        </w:rPr>
        <w:t xml:space="preserve">　（目安 1.5分）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原則と相談先を確認する。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5つの行動原則を確認し、相談窓口は実施前に自社の連絡先を記入すると伝えます。</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架空の連絡先は作らない。</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確認テストへ。</w:t>
      </w:r>
    </w:p>
    <w:p>
      <w:pPr>
        <w:pBdr>
          <w:bottom w:val="single" w:color="C9D2DA" w:sz="4" w:space="3"/>
        </w:pBdr>
        <w:spacing w:after="24" w:before="130" w:line="262"/>
      </w:pPr>
      <w:r>
        <w:rPr>
          <w:rFonts w:ascii="Meiryo" w:cs="Meiryo" w:eastAsia="Meiryo" w:hAnsi="Meiryo"/>
          <w:b/>
          <w:bCs/>
          <w:i w:val="false"/>
          <w:iCs w:val="false"/>
          <w:color w:val="16314F"/>
          <w:sz w:val="21"/>
          <w:szCs w:val="21"/>
        </w:rPr>
        <w:t xml:space="preserve">スライド36　確認テスト案内・終了</w:t>
      </w:r>
      <w:r>
        <w:rPr>
          <w:rFonts w:ascii="Meiryo" w:cs="Meiryo" w:eastAsia="Meiryo" w:hAnsi="Meiryo"/>
          <w:b w:val="false"/>
          <w:bCs w:val="false"/>
          <w:i w:val="false"/>
          <w:iCs w:val="false"/>
          <w:color w:val="5B6770"/>
          <w:sz w:val="17"/>
          <w:szCs w:val="17"/>
        </w:rPr>
        <w:t xml:space="preserve">　（目安 1.5分）</w:t>
      </w:r>
    </w:p>
    <w:p>
      <w:pPr>
        <w:spacing w:after="18" w:before="0" w:line="264"/>
      </w:pPr>
      <w:r>
        <w:rPr>
          <w:rFonts w:ascii="Meiryo" w:cs="Meiryo" w:eastAsia="Meiryo" w:hAnsi="Meiryo"/>
          <w:b/>
          <w:bCs/>
          <w:i w:val="false"/>
          <w:iCs w:val="false"/>
          <w:color w:val="237A75"/>
          <w:sz w:val="18"/>
          <w:szCs w:val="18"/>
        </w:rPr>
        <w:t xml:space="preserve">目的： </w:t>
      </w:r>
      <w:r>
        <w:rPr>
          <w:rFonts w:ascii="Meiryo" w:cs="Meiryo" w:eastAsia="Meiryo" w:hAnsi="Meiryo"/>
          <w:b w:val="false"/>
          <w:bCs w:val="false"/>
          <w:i w:val="false"/>
          <w:iCs w:val="false"/>
          <w:color w:val="263238"/>
          <w:sz w:val="18"/>
          <w:szCs w:val="18"/>
        </w:rPr>
        <w:t xml:space="preserve">理解度確認へ誘導する。</w:t>
      </w:r>
    </w:p>
    <w:p>
      <w:pPr>
        <w:spacing w:after="18" w:before="0" w:line="258"/>
      </w:pPr>
      <w:r>
        <w:rPr>
          <w:rFonts w:ascii="Meiryo" w:cs="Meiryo" w:eastAsia="Meiryo" w:hAnsi="Meiryo"/>
          <w:b/>
          <w:bCs/>
          <w:i w:val="false"/>
          <w:iCs w:val="false"/>
          <w:color w:val="243B53"/>
          <w:sz w:val="18"/>
          <w:szCs w:val="18"/>
        </w:rPr>
        <w:t xml:space="preserve">講師トーク： </w:t>
      </w:r>
      <w:r>
        <w:rPr>
          <w:rFonts w:ascii="Meiryo" w:cs="Meiryo" w:eastAsia="Meiryo" w:hAnsi="Meiryo"/>
          <w:b w:val="false"/>
          <w:bCs w:val="false"/>
          <w:i w:val="false"/>
          <w:iCs w:val="false"/>
          <w:color w:val="263238"/>
          <w:sz w:val="18"/>
          <w:szCs w:val="18"/>
        </w:rPr>
        <w:t xml:space="preserve">全12問の確認テストを案内します。本研修は出発点であり、最終判断は社内規程と専門家相談を前提とすると締めます。</w:t>
      </w:r>
    </w:p>
    <w:p>
      <w:pPr>
        <w:spacing w:after="18" w:before="0" w:line="264"/>
      </w:pPr>
      <w:r>
        <w:rPr>
          <w:rFonts w:ascii="Meiryo" w:cs="Meiryo" w:eastAsia="Meiryo" w:hAnsi="Meiryo"/>
          <w:b/>
          <w:bCs/>
          <w:i w:val="false"/>
          <w:iCs w:val="false"/>
          <w:color w:val="B42318"/>
          <w:sz w:val="18"/>
          <w:szCs w:val="18"/>
        </w:rPr>
        <w:t xml:space="preserve">留意： </w:t>
      </w:r>
      <w:r>
        <w:rPr>
          <w:rFonts w:ascii="Meiryo" w:cs="Meiryo" w:eastAsia="Meiryo" w:hAnsi="Meiryo"/>
          <w:b w:val="false"/>
          <w:bCs w:val="false"/>
          <w:i w:val="false"/>
          <w:iCs w:val="false"/>
          <w:color w:val="263238"/>
          <w:sz w:val="18"/>
          <w:szCs w:val="18"/>
        </w:rPr>
        <w:t xml:space="preserve">「これで対応完成」とは言わない。</w:t>
      </w:r>
    </w:p>
    <w:p>
      <w:pPr>
        <w:spacing w:after="6" w:before="0" w:line="264"/>
      </w:pPr>
      <w:r>
        <w:rPr>
          <w:rFonts w:ascii="Meiryo" w:cs="Meiryo" w:eastAsia="Meiryo" w:hAnsi="Meiryo"/>
          <w:b/>
          <w:bCs/>
          <w:i w:val="false"/>
          <w:iCs w:val="false"/>
          <w:color w:val="5B6770"/>
          <w:sz w:val="17"/>
          <w:szCs w:val="17"/>
        </w:rPr>
        <w:t xml:space="preserve">つなぎ： </w:t>
      </w:r>
      <w:r>
        <w:rPr>
          <w:rFonts w:ascii="Meiryo" w:cs="Meiryo" w:eastAsia="Meiryo" w:hAnsi="Meiryo"/>
          <w:b w:val="false"/>
          <w:bCs w:val="false"/>
          <w:i w:val="false"/>
          <w:iCs w:val="false"/>
          <w:color w:val="5B6770"/>
          <w:sz w:val="17"/>
          <w:szCs w:val="17"/>
        </w:rPr>
        <w:t xml:space="preserve">テスト実施。</w:t>
      </w:r>
    </w:p>
    <w:p>
      <w:r>
        <w:br w:type="page"/>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2. 想定質問と回答（17問）</w:t>
      </w:r>
    </w:p>
    <w:tbl>
      <w:tblPr>
        <w:tblW w:type="dxa" w:w="9638"/>
        <w:tblBorders>
          <w:top w:val="single" w:color="C9D2DA" w:sz="4"/>
          <w:left w:val="single" w:color="C9D2DA" w:sz="4"/>
          <w:bottom w:val="single" w:color="C9D2DA" w:sz="4"/>
          <w:right w:val="single" w:color="C9D2DA" w:sz="4"/>
          <w:insideH w:val="single" w:color="C9D2DA" w:sz="4"/>
          <w:insideV w:val="single" w:color="C9D2DA" w:sz="4"/>
        </w:tblBorders>
      </w:tblPr>
      <w:tblGrid>
        <w:gridCol w:w="3400"/>
        <w:gridCol w:w="6238"/>
      </w:tblGrid>
      <w:tr>
        <w:trPr>
          <w:tblHeader/>
        </w:trPr>
        <w:tc>
          <w:tcPr>
            <w:tcW w:type="dxa" w:w="3400"/>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9"/>
                <w:szCs w:val="19"/>
              </w:rPr>
              <w:t xml:space="preserve">想定質問</w:t>
            </w:r>
          </w:p>
        </w:tc>
        <w:tc>
          <w:tcPr>
            <w:tcW w:type="dxa" w:w="6238"/>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9"/>
                <w:szCs w:val="19"/>
              </w:rPr>
              <w:t xml:space="preserve">回答の方向</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フリーランス法とは何ですか？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個人で働くフリーランスへの業務委託について、取引の適正化と就業環境整備を図る法律です（正式名称：特定受託事業者に係る取引の適正化等に関する法律、令和6年11月1日施行）。</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個人事業主なら全員が対象ですか？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対象は「業務委託の相手方で従業員を使用しない事業者」等です。消費者向け取引などは対象外で、最終的な該当性は個別に確認します。</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副業で仕事を受ける人も対象ですか？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雇用されている人が副業で事業者として業務委託を受ける場合は、特定受託事業者に該当し得ます。</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業務委託契約書があれば取引条件の明示は不要ですか？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契約書も明示手段の一つですが、8つの明示事項を直ちに書面・電磁的方法で示す必要があります。契約書があれば何でもよいわけではありません。</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口頭で依頼しても合意があればよいですか？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口頭の合意だけでは足りず、書面・電磁的方法での明示が必要です。</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支払は請求書が来てから60日以内でよいですか？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起算日は給付の受領日です。請求書の未着は支払を遅らせる理由になりません。</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元委託者から入金がない場合、支払を遅らせてよいですか？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入金遅れは支払を遅らせる正当理由になりません。再委託の例外は明示が条件で、入金遅れの言い訳にはなりません。</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本人が同意すれば報酬を減額してよいですか？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1か月以上の委託では、本人の了承があっても減額は違反になり得ます。</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仕様が曖昧だった場合、無償修正を求めてよいですか？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仕様不明確のままの無償全面修正は不当なやり直しに当たり得ます。変更は内容・追加報酬・納期を協議し記録します。</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募集情報と実際の条件が変わった場合はどうしますか？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募集は正確・最新に保ち、差異があれば明確に説明し記録します。虚偽・誤解表示は避けます。</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フリーランスからハラスメント相談があったらどうしますか？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業務委託でも体制整備の対象です。正規窓口へつなぎ、プライバシーに配慮し、相談を理由に不利益に扱いません。詳細は第5・6回。</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業務委託なので育児介護等への配慮は不要ですか？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6か月以上は配慮が義務、未満は努力義務です。申出に応じ可能な範囲で検討・実施します。</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契約書に書いてあれば突然終了してよいですか？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6か月以上は原則30日前予告・理由開示が必要です。契約条項があっても例外該当性は慎重に判断します。</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業務委託と雇用は何が違いますか？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指揮命令の有無、勤務時間・場所の拘束、代替性、報酬の性質などで実態判断されます。実態が労働者なら労働関係法令が適用され得ます。</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フリーランス法を守れば労働者性の問題はなくなりますか？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なくなるとはいえません。雇用に近い働かせ方は別途労働者性の問題になり得るため、人事・法務に相談します。</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フリーランス法違反かどうかAIに判断させてよいですか？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AIは下書き・整理の補助にとどめ、該当性・違反該当性の最終判断はしません。個人情報・契約書全文・相談内容は匿名化し、人の確認を前提とします。</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この研修を受ければフリーランス法対応は十分ですか？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本研修は出発点です。社内規程・テンプレート・相談体制と関係部門・専門家の関与で補完してください。</w:t>
            </w:r>
          </w:p>
        </w:tc>
      </w:tr>
    </w:tbl>
    <w:p>
      <w:r>
        <w:br w:type="page"/>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3. 70〜80分への拡張（演習）</w:t>
      </w:r>
    </w:p>
    <w:p>
      <w:pPr>
        <w:pStyle w:val="Heading2"/>
        <w:keepNext/>
        <w:keepLines/>
        <w:spacing w:after="80" w:before="170"/>
      </w:pPr>
      <w:r>
        <w:rPr>
          <w:rFonts w:ascii="Meiryo" w:cs="Meiryo" w:eastAsia="Meiryo" w:hAnsi="Meiryo"/>
          <w:b/>
          <w:bCs/>
          <w:i w:val="false"/>
          <w:iCs w:val="false"/>
          <w:color w:val="243B53"/>
          <w:sz w:val="23"/>
          <w:szCs w:val="23"/>
        </w:rPr>
        <w:t xml:space="preserve">A. ケース討議（+15〜20分）</w:t>
      </w:r>
    </w:p>
    <w:p>
      <w:pPr>
        <w:pStyle w:val="ListParagraph"/>
        <w:numPr>
          <w:ilvl w:val="0"/>
          <w:numId w:val="2"/>
        </w:numPr>
        <w:spacing w:after="50" w:line="256"/>
      </w:pPr>
      <w:r>
        <w:rPr>
          <w:rFonts w:ascii="Meiryo" w:cs="Meiryo" w:eastAsia="Meiryo" w:hAnsi="Meiryo"/>
          <w:b w:val="false"/>
          <w:bCs w:val="false"/>
          <w:i w:val="false"/>
          <w:iCs w:val="false"/>
          <w:color w:val="263238"/>
          <w:sz w:val="21"/>
          <w:szCs w:val="21"/>
        </w:rPr>
        <w:t xml:space="preserve">ケースワークブックから2〜3ケースを選び、4〜6名のグループで「確認すること／してはいけないこと／相談先」を10分で書き出す。</w:t>
      </w:r>
    </w:p>
    <w:p>
      <w:pPr>
        <w:pStyle w:val="ListParagraph"/>
        <w:numPr>
          <w:ilvl w:val="0"/>
          <w:numId w:val="2"/>
        </w:numPr>
        <w:spacing w:after="50" w:line="256"/>
      </w:pPr>
      <w:r>
        <w:rPr>
          <w:rFonts w:ascii="Meiryo" w:cs="Meiryo" w:eastAsia="Meiryo" w:hAnsi="Meiryo"/>
          <w:b w:val="false"/>
          <w:bCs w:val="false"/>
          <w:i w:val="false"/>
          <w:iCs w:val="false"/>
          <w:color w:val="263238"/>
          <w:sz w:val="21"/>
          <w:szCs w:val="21"/>
        </w:rPr>
        <w:t xml:space="preserve">各グループ3分で発表。講師は断定を避け、明示・記録・相談の型に沿って講評する。</w:t>
      </w:r>
    </w:p>
    <w:p>
      <w:pPr>
        <w:pStyle w:val="Heading2"/>
        <w:keepNext/>
        <w:keepLines/>
        <w:spacing w:after="80" w:before="170"/>
      </w:pPr>
      <w:r>
        <w:rPr>
          <w:rFonts w:ascii="Meiryo" w:cs="Meiryo" w:eastAsia="Meiryo" w:hAnsi="Meiryo"/>
          <w:b/>
          <w:bCs/>
          <w:i w:val="false"/>
          <w:iCs w:val="false"/>
          <w:color w:val="243B53"/>
          <w:sz w:val="23"/>
          <w:szCs w:val="23"/>
        </w:rPr>
        <w:t xml:space="preserve">B. 発注前チェックシート演習（+15〜20分）</w:t>
      </w:r>
    </w:p>
    <w:p>
      <w:pPr>
        <w:pStyle w:val="ListParagraph"/>
        <w:numPr>
          <w:ilvl w:val="0"/>
          <w:numId w:val="2"/>
        </w:numPr>
        <w:spacing w:after="50" w:line="256"/>
      </w:pPr>
      <w:r>
        <w:rPr>
          <w:rFonts w:ascii="Meiryo" w:cs="Meiryo" w:eastAsia="Meiryo" w:hAnsi="Meiryo"/>
          <w:b w:val="false"/>
          <w:bCs w:val="false"/>
          <w:i w:val="false"/>
          <w:iCs w:val="false"/>
          <w:color w:val="263238"/>
          <w:sz w:val="21"/>
          <w:szCs w:val="21"/>
        </w:rPr>
        <w:t xml:space="preserve">受講者が自分の直近の発注を1件選び、チェックリスト第1〜3部とツールキット第1・2部に記入する（固有名は伏せる）。</w:t>
      </w:r>
    </w:p>
    <w:p>
      <w:pPr>
        <w:pStyle w:val="ListParagraph"/>
        <w:numPr>
          <w:ilvl w:val="0"/>
          <w:numId w:val="2"/>
        </w:numPr>
        <w:spacing w:after="50" w:line="256"/>
      </w:pPr>
      <w:r>
        <w:rPr>
          <w:rFonts w:ascii="Meiryo" w:cs="Meiryo" w:eastAsia="Meiryo" w:hAnsi="Meiryo"/>
          <w:b w:val="false"/>
          <w:bCs w:val="false"/>
          <w:i w:val="false"/>
          <w:iCs w:val="false"/>
          <w:color w:val="263238"/>
          <w:sz w:val="21"/>
          <w:szCs w:val="21"/>
        </w:rPr>
        <w:t xml:space="preserve">不安な項目に印を付け、相談先（法務・人事・購買・経理）を記入して終える。</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237A75" w:sz="6"/>
              <w:left w:val="single" w:color="237A75" w:sz="18"/>
              <w:bottom w:val="single" w:color="237A75" w:sz="6"/>
              <w:right w:val="single" w:color="237A75" w:sz="6"/>
            </w:tcBorders>
            <w:shd w:fill="E3EFEE"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237A75"/>
                <w:sz w:val="21"/>
                <w:szCs w:val="21"/>
              </w:rPr>
              <w:t xml:space="preserve">演習時の注意</w:t>
            </w:r>
          </w:p>
          <w:p>
            <w:pPr>
              <w:spacing w:after="0" w:before="0" w:line="264"/>
            </w:pPr>
            <w:r>
              <w:rPr>
                <w:rFonts w:ascii="Meiryo" w:cs="Meiryo" w:eastAsia="Meiryo" w:hAnsi="Meiryo"/>
                <w:b w:val="false"/>
                <w:bCs w:val="false"/>
                <w:i w:val="false"/>
                <w:iCs w:val="false"/>
                <w:color w:val="263238"/>
                <w:sz w:val="20"/>
                <w:szCs w:val="20"/>
              </w:rPr>
              <w:t xml:space="preserve">実在の個人・取引先・案件名や報酬額は記入させない。匿名化し、相談が必要なものは正規窓口へつなぐ。</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4. 講師が言ってはいけない説明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フリーランスへの発注は危ないから避けるべき、という説明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フリーランスには労働法も取引法も関係ない、という説明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業務委託契約書があれば何をしてもよい、という説明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口頭発注だけで足りる／取引条件は後で決めればよい、という説明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請求書が来てから60日以内でよい、と単純化する説明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元委託の入金がなければ支払を遅らせてよい、という説明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本人が同意すれば減額・返品・無償やり直しは常に問題ない、という説明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1か月未満なら何をしてもよい／募集情報は多少盛ってよい、という説明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相談窓口を置くだけでハラスメント対策は十分、という説明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業務委託だから育児介護等への配慮は不要、という説明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契約書に解除条項があればいつでも自由に終了してよい、という説明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フリーランス法を守れば労働者性の問題は必ずなくなる、という説明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該当性・違反該当性・労働者性・ハラスメント該当性を現場やAIが最終判断できる、という説明</w:t>
      </w:r>
    </w:p>
    <w:p>
      <w:pPr>
        <w:pStyle w:val="ListParagraph"/>
        <w:numPr>
          <w:ilvl w:val="0"/>
          <w:numId w:val="3"/>
        </w:numPr>
        <w:spacing w:after="50" w:line="252"/>
      </w:pPr>
      <w:r>
        <w:rPr>
          <w:rFonts w:ascii="Meiryo" w:cs="Meiryo" w:eastAsia="Meiryo" w:hAnsi="Meiryo"/>
          <w:b w:val="false"/>
          <w:bCs w:val="false"/>
          <w:i w:val="false"/>
          <w:iCs w:val="false"/>
          <w:color w:val="263238"/>
          <w:sz w:val="18"/>
          <w:szCs w:val="18"/>
        </w:rPr>
        <w:t xml:space="preserve">この研修だけでフリーランス法対応体制が完成する、という説明</w:t>
      </w:r>
    </w:p>
    <w:p>
      <w:pPr>
        <w:spacing w:after="120" w:before="0" w:line="264"/>
      </w:pPr>
      <w:r>
        <w:rPr>
          <w:rFonts w:ascii="Meiryo" w:cs="Meiryo" w:eastAsia="Meiryo" w:hAnsi="Meiryo"/>
          <w:b w:val="false"/>
          <w:bCs w:val="false"/>
          <w:i w:val="false"/>
          <w:iCs w:val="false"/>
          <w:color w:val="263238"/>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58A3A" w:sz="6"/>
              <w:left w:val="single" w:color="B58A3A" w:sz="18"/>
              <w:bottom w:val="single" w:color="B58A3A" w:sz="6"/>
              <w:right w:val="single" w:color="B58A3A" w:sz="6"/>
            </w:tcBorders>
            <w:shd w:fill="F5EEDF"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58A3A"/>
                <w:sz w:val="21"/>
                <w:szCs w:val="21"/>
              </w:rPr>
              <w:t xml:space="preserve">運営者へ</w:t>
            </w:r>
          </w:p>
          <w:p>
            <w:pPr>
              <w:spacing w:after="50" w:before="0" w:line="264"/>
            </w:pPr>
            <w:r>
              <w:rPr>
                <w:rFonts w:ascii="Meiryo" w:cs="Meiryo" w:eastAsia="Meiryo" w:hAnsi="Meiryo"/>
                <w:b w:val="false"/>
                <w:bCs w:val="false"/>
                <w:i w:val="false"/>
                <w:iCs w:val="false"/>
                <w:color w:val="263238"/>
                <w:sz w:val="20"/>
                <w:szCs w:val="20"/>
              </w:rPr>
              <w:t xml:space="preserve">本資料は社員教育を目的とした一般的な解説であり、特定の事案に対する法的助言ではありません。</w:t>
            </w:r>
          </w:p>
          <w:p>
            <w:pPr>
              <w:spacing w:after="50" w:before="0" w:line="264"/>
            </w:pPr>
            <w:r>
              <w:rPr>
                <w:rFonts w:ascii="Meiryo" w:cs="Meiryo" w:eastAsia="Meiryo" w:hAnsi="Meiryo"/>
                <w:b w:val="false"/>
                <w:bCs w:val="false"/>
                <w:i w:val="false"/>
                <w:iCs w:val="false"/>
                <w:color w:val="263238"/>
                <w:sz w:val="20"/>
                <w:szCs w:val="20"/>
              </w:rPr>
              <w:t xml:space="preserve">フリーランス法該当性・違反該当性・労働者性・ハラスメント該当性・行政対応は、現場担当者やAIが最終判断するものではありません。</w:t>
            </w:r>
          </w:p>
          <w:p>
            <w:pPr>
              <w:spacing w:after="50" w:before="0" w:line="264"/>
            </w:pPr>
            <w:r>
              <w:rPr>
                <w:rFonts w:ascii="Meiryo" w:cs="Meiryo" w:eastAsia="Meiryo" w:hAnsi="Meiryo"/>
                <w:b w:val="false"/>
                <w:bCs w:val="false"/>
                <w:i w:val="false"/>
                <w:iCs w:val="false"/>
                <w:color w:val="263238"/>
                <w:sz w:val="20"/>
                <w:szCs w:val="20"/>
              </w:rPr>
              <w:t xml:space="preserve">個別案件では、フリーランスの氏名・報酬額・契約書全文・相談内容・個人情報・営業秘密をそのまま外部AIへ入力せず、匿名化・マスキングを行い、自社承認済み環境と人による確認を前提としてください。</w:t>
            </w:r>
          </w:p>
          <w:p>
            <w:pPr>
              <w:spacing w:after="0" w:before="0" w:line="264"/>
            </w:pPr>
            <w:r>
              <w:rPr>
                <w:rFonts w:ascii="Meiryo" w:cs="Meiryo" w:eastAsia="Meiryo" w:hAnsi="Meiryo"/>
                <w:b w:val="false"/>
                <w:bCs w:val="false"/>
                <w:i w:val="false"/>
                <w:iCs w:val="false"/>
                <w:color w:val="263238"/>
                <w:sz w:val="20"/>
                <w:szCs w:val="20"/>
              </w:rPr>
              <w:t xml:space="preserve">本研修だけでフリーランス法対応体制が完成するわけではありません。社内規程と関係部門・専門家への相談で補完してください。</w:t>
            </w:r>
          </w:p>
        </w:tc>
      </w:tr>
    </w:tbl>
    <w:sectPr>
      <w:footerReference w:type="default" r:id="rId7"/>
      <w:pgSz w:w="11906" w:h="16838" w:orient="portrait"/>
      <w:pgMar w:top="1134" w:right="1134" w:bottom="1134" w:left="1134"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A" w:sz="4" w:space="4"/>
      </w:pBdr>
      <w:tabs>
        <w:tab w:val="right" w:pos="9638"/>
      </w:tabs>
    </w:pPr>
    <w:r>
      <w:rPr>
        <w:rFonts w:ascii="Meiryo" w:cs="Meiryo" w:eastAsia="Meiryo" w:hAnsi="Meiryo"/>
        <w:b w:val="false"/>
        <w:bCs w:val="false"/>
        <w:i w:val="false"/>
        <w:iCs w:val="false"/>
        <w:color w:val="5B6770"/>
        <w:sz w:val="15"/>
        <w:szCs w:val="15"/>
      </w:rPr>
      <w:t xml:space="preserve">Legal GPT｜第18回 フリーランス法研修　講師台本</w:t>
    </w:r>
    <w:r>
      <w:rPr>
        <w:rFonts w:ascii="Meiryo" w:cs="Meiryo" w:eastAsia="Meiryo" w:hAnsi="Meiryo"/>
      </w:rPr>
      <w:t xml:space="preserve">	</w:t>
    </w:r>
    <w:r>
      <w:rPr>
        <w:rFonts w:ascii="Meiryo" w:cs="Meiryo" w:eastAsia="Meiryo" w:hAnsi="Meiryo"/>
        <w:color w:val="5B6770"/>
        <w:sz w:val="15"/>
        <w:szCs w:val="15"/>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880" w:hanging="260"/>
      </w:pPr>
    </w:lvl>
  </w:abstractNum>
  <w:abstractNum w:abstractNumId="3" w15:restartNumberingAfterBreak="0">
    <w:multiLevelType w:val="hybridMultilevel"/>
    <w:lvl w:ilvl="0" w15:tentative="1">
      <w:start w:val="1"/>
      <w:numFmt w:val="bullet"/>
      <w:lvlText w:val="☐"/>
      <w:lvlJc w:val="left"/>
      <w:pPr>
        <w:ind w:left="460" w:hanging="300"/>
      </w:pPr>
      <w:rPr>
        <w:color w:val="243B53"/>
      </w:rPr>
    </w:lvl>
  </w:abstractNum>
  <w:abstractNum w:abstractNumId="4" w15:restartNumberingAfterBreak="0">
    <w:multiLevelType w:val="hybridMultilevel"/>
    <w:lvl w:ilvl="0" w15:tentative="1">
      <w:start w:val="1"/>
      <w:numFmt w:val="decimal"/>
      <w:lvlText w:val="%1."/>
      <w:lvlJc w:val="left"/>
      <w:pPr>
        <w:ind w:left="470" w:hanging="330"/>
      </w:pPr>
    </w:lvl>
  </w:abstractNum>
  <w:abstractNum w:abstractNumId="5" w15:restartNumberingAfterBreak="0">
    <w:multiLevelType w:val="hybridMultilevel"/>
    <w:lvl w:ilvl="0" w15:tentative="1">
      <w:start w:val="1"/>
      <w:numFmt w:val="decimal"/>
      <w:lvlText w:val="%1."/>
      <w:lvlJc w:val="left"/>
      <w:pPr>
        <w:ind w:left="470" w:hanging="330"/>
      </w:p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20"/>
      <w:outlineLvl w:val="0"/>
    </w:pPr>
    <w:rPr>
      <w:rFonts w:ascii="Meiryo" w:cs="Meiryo" w:eastAsia="Meiryo" w:hAnsi="Meiryo"/>
      <w:b/>
      <w:bCs/>
      <w:color w:val="16314F"/>
      <w:sz w:val="28"/>
      <w:szCs w:val="28"/>
    </w:rPr>
  </w:style>
  <w:style w:type="paragraph" w:styleId="Heading2">
    <w:name w:val="Heading 2"/>
    <w:basedOn w:val="Normal"/>
    <w:next w:val="Normal"/>
    <w:qFormat/>
    <w:pPr>
      <w:spacing w:after="80" w:before="170"/>
      <w:outlineLvl w:val="1"/>
    </w:pPr>
    <w:rPr>
      <w:rFonts w:ascii="Meiryo" w:cs="Meiryo" w:eastAsia="Meiryo" w:hAnsi="Meiryo"/>
      <w:b/>
      <w:bCs/>
      <w:color w:val="243B53"/>
      <w:sz w:val="23"/>
      <w:szCs w:val="23"/>
    </w:rPr>
  </w:style>
  <w:style w:type="paragraph" w:styleId="Heading3">
    <w:name w:val="Heading 3"/>
    <w:basedOn w:val="Normal"/>
    <w:next w:val="Normal"/>
    <w:qFormat/>
    <w:pPr>
      <w:spacing w:after="60" w:before="120"/>
      <w:outlineLvl w:val="2"/>
    </w:pPr>
    <w:rPr>
      <w:rFonts w:ascii="Meiryo" w:cs="Meiryo" w:eastAsia="Meiryo" w:hAnsi="Meiryo"/>
      <w:b/>
      <w:bCs/>
      <w:color w:val="237A75"/>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2026-06-23T04:27:50.123Z</dcterms:created>
  <dcterms:modified xsi:type="dcterms:W3CDTF">2026-06-23T04:27:50.123Z</dcterms:modified>
</cp:coreProperties>
</file>

<file path=docProps/custom.xml><?xml version="1.0" encoding="utf-8"?>
<Properties xmlns="http://schemas.openxmlformats.org/officeDocument/2006/custom-properties" xmlns:vt="http://schemas.openxmlformats.org/officeDocument/2006/docPropsVTypes"/>
</file>