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line="264"/>
      </w:pPr>
      <w:r>
        <w:rPr>
          <w:rFonts w:ascii="Meiryo" w:cs="Meiryo" w:eastAsia="Meiryo" w:hAnsi="Meiryo"/>
          <w:b/>
          <w:bCs/>
          <w:i w:val="false"/>
          <w:iCs w:val="false"/>
          <w:color w:val="B58A3A"/>
          <w:sz w:val="19"/>
          <w:szCs w:val="19"/>
        </w:rPr>
        <w:t xml:space="preserve">法務・総務のための社内研修資料20選</w:t>
      </w:r>
    </w:p>
    <w:p>
      <w:pPr>
        <w:spacing w:after="60" w:before="0" w:line="264"/>
      </w:pPr>
      <w:r>
        <w:rPr>
          <w:rFonts w:ascii="Meiryo" w:cs="Meiryo" w:eastAsia="Meiryo" w:hAnsi="Meiryo"/>
          <w:b/>
          <w:bCs/>
          <w:i w:val="false"/>
          <w:iCs w:val="false"/>
          <w:color w:val="16314F"/>
          <w:sz w:val="21"/>
          <w:szCs w:val="21"/>
        </w:rPr>
        <w:t xml:space="preserve">第18回　</w:t>
      </w:r>
      <w:r>
        <w:rPr>
          <w:rFonts w:ascii="Meiryo" w:cs="Meiryo" w:eastAsia="Meiryo" w:hAnsi="Meiryo"/>
          <w:b/>
          <w:bCs/>
          <w:i w:val="false"/>
          <w:iCs w:val="false"/>
          <w:color w:val="243B53"/>
          <w:sz w:val="21"/>
          <w:szCs w:val="21"/>
        </w:rPr>
        <w:t xml:space="preserve">フリーランス法研修</w:t>
      </w:r>
    </w:p>
    <w:p>
      <w:pPr>
        <w:spacing w:after="40" w:before="0" w:line="264"/>
      </w:pPr>
      <w:r>
        <w:rPr>
          <w:rFonts w:ascii="Meiryo" w:cs="Meiryo" w:eastAsia="Meiryo" w:hAnsi="Meiryo"/>
          <w:b/>
          <w:bCs/>
          <w:i w:val="false"/>
          <w:iCs w:val="false"/>
          <w:color w:val="16314F"/>
          <w:sz w:val="34"/>
          <w:szCs w:val="34"/>
        </w:rPr>
        <w:t xml:space="preserve">フリーランス法研修 実施ガイド</w:t>
      </w:r>
    </w:p>
    <w:p>
      <w:pPr>
        <w:spacing w:after="80" w:before="0" w:line="264"/>
      </w:pPr>
      <w:r>
        <w:rPr>
          <w:rFonts w:ascii="Meiryo" w:cs="Meiryo" w:eastAsia="Meiryo" w:hAnsi="Meiryo"/>
          <w:b w:val="false"/>
          <w:bCs w:val="false"/>
          <w:i w:val="false"/>
          <w:iCs w:val="false"/>
          <w:color w:val="243B53"/>
          <w:sz w:val="22"/>
          <w:szCs w:val="22"/>
        </w:rPr>
        <w:t xml:space="preserve">企画・運営・自社化・記録・版管理</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left w:val="none"/>
              <w:bottom w:val="none"/>
              <w:right w:val="none"/>
            </w:tcBorders>
            <w:shd w:fill="16314F" w:val="clear"/>
            <w:tcMar>
              <w:top w:type="dxa" w:w="90"/>
              <w:left w:type="dxa" w:w="150"/>
              <w:bottom w:type="dxa" w:w="90"/>
              <w:right w:type="dxa" w:w="150"/>
            </w:tcMar>
          </w:tcPr>
          <w:p>
            <w:pPr>
              <w:spacing w:after="30" w:before="0" w:line="240"/>
            </w:pPr>
            <w:r>
              <w:rPr>
                <w:rFonts w:ascii="Meiryo" w:cs="Meiryo" w:eastAsia="Meiryo" w:hAnsi="Meiryo"/>
                <w:b/>
                <w:bCs/>
                <w:i w:val="false"/>
                <w:iCs w:val="false"/>
                <w:color w:val="B58A3A"/>
                <w:sz w:val="19"/>
                <w:szCs w:val="19"/>
              </w:rPr>
              <w:t xml:space="preserve">対象： </w:t>
            </w:r>
            <w:r>
              <w:rPr>
                <w:rFonts w:ascii="Meiryo" w:cs="Meiryo" w:eastAsia="Meiryo" w:hAnsi="Meiryo"/>
                <w:b w:val="false"/>
                <w:bCs w:val="false"/>
                <w:i w:val="false"/>
                <w:iCs w:val="false"/>
                <w:color w:val="FFFFFF"/>
                <w:sz w:val="19"/>
                <w:szCs w:val="19"/>
              </w:rPr>
              <w:t xml:space="preserve">研修企画・運営担当／講師</w:t>
            </w:r>
          </w:p>
          <w:p>
            <w:pPr>
              <w:spacing w:after="0" w:before="0" w:line="240"/>
            </w:pPr>
            <w:r>
              <w:rPr>
                <w:rFonts w:ascii="Meiryo" w:cs="Meiryo" w:eastAsia="Meiryo" w:hAnsi="Meiryo"/>
                <w:b/>
                <w:bCs/>
                <w:i w:val="false"/>
                <w:iCs w:val="false"/>
                <w:color w:val="B58A3A"/>
                <w:sz w:val="19"/>
                <w:szCs w:val="19"/>
              </w:rPr>
              <w:t xml:space="preserve">法令・制度基準日： </w:t>
            </w:r>
            <w:r>
              <w:rPr>
                <w:rFonts w:ascii="Meiryo" w:cs="Meiryo" w:eastAsia="Meiryo" w:hAnsi="Meiryo"/>
                <w:b w:val="false"/>
                <w:bCs w:val="false"/>
                <w:i w:val="false"/>
                <w:iCs w:val="false"/>
                <w:color w:val="FFFFFF"/>
                <w:sz w:val="19"/>
                <w:szCs w:val="19"/>
              </w:rPr>
              <w:t xml:space="preserve">2026年6月18日</w:t>
            </w:r>
            <w:r>
              <w:rPr>
                <w:rFonts w:ascii="Meiryo" w:cs="Meiryo" w:eastAsia="Meiryo" w:hAnsi="Meiryo"/>
                <w:b w:val="false"/>
                <w:bCs w:val="false"/>
                <w:i w:val="false"/>
                <w:iCs w:val="false"/>
                <w:color w:val="DCE6F0"/>
                <w:sz w:val="18"/>
                <w:szCs w:val="18"/>
              </w:rPr>
              <w:t xml:space="preserve">　　会社名／実施日／講師名：【要記入】</w:t>
            </w:r>
          </w:p>
        </w:tc>
      </w:tr>
    </w:tbl>
    <w:p>
      <w:pPr>
        <w:spacing w:after="60" w:before="90" w:line="264"/>
      </w:pPr>
      <w:r>
        <w:rPr>
          <w:rFonts w:ascii="Meiryo" w:cs="Meiryo" w:eastAsia="Meiryo" w:hAnsi="Meiryo"/>
          <w:b w:val="false"/>
          <w:bCs w:val="false"/>
          <w:i/>
          <w:iCs/>
          <w:color w:val="5B6770"/>
          <w:sz w:val="17"/>
          <w:szCs w:val="17"/>
        </w:rPr>
        <w:t xml:space="preserve">本資料はフリーランス法対応の出発点です。フリーランス法該当性・違反該当性・労働者性・行政対応の最終判断は、社内規程及び法務・人事・購買・経理・コンプライアンス・専門家への相談を前提としてください。</w:t>
      </w:r>
    </w:p>
    <w:p>
      <w:pPr>
        <w:pBdr>
          <w:bottom w:val="single" w:color="B58A3A" w:sz="8" w:space="4"/>
        </w:pBdr>
        <w:spacing w:after="120"/>
      </w:pPr>
      <w:r>
        <w:rPr>
          <w:rFonts w:ascii="Meiryo" w:cs="Meiryo" w:eastAsia="Meiryo" w:hAnsi="Meiryo"/>
          <w:b w:val="false"/>
          <w:bCs w:val="false"/>
          <w:i w:val="false"/>
          <w:iCs w:val="false"/>
          <w:color w:val="263238"/>
          <w:sz w:val="21"/>
          <w:szCs w:val="21"/>
        </w:rPr>
        <w:t xml:space="preserve"/>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1. 研修の目的・対象・時間</w:t>
      </w:r>
    </w:p>
    <w:p>
      <w:pPr>
        <w:spacing w:after="90" w:before="0" w:line="264"/>
      </w:pPr>
      <w:r>
        <w:rPr>
          <w:rFonts w:ascii="Meiryo" w:cs="Meiryo" w:eastAsia="Meiryo" w:hAnsi="Meiryo"/>
          <w:b/>
          <w:bCs/>
          <w:i w:val="false"/>
          <w:iCs w:val="false"/>
          <w:color w:val="237A75"/>
          <w:sz w:val="21"/>
          <w:szCs w:val="21"/>
        </w:rPr>
        <w:t xml:space="preserve">目的： </w:t>
      </w:r>
      <w:r>
        <w:rPr>
          <w:rFonts w:ascii="Meiryo" w:cs="Meiryo" w:eastAsia="Meiryo" w:hAnsi="Meiryo"/>
          <w:b w:val="false"/>
          <w:bCs w:val="false"/>
          <w:i w:val="false"/>
          <w:iCs w:val="false"/>
          <w:color w:val="263238"/>
          <w:sz w:val="21"/>
          <w:szCs w:val="21"/>
        </w:rPr>
        <w:t xml:space="preserve">フリーランスへの発注を一律に避けるのではなく、(1)対象取引の把握、(2)取引条件の明示と記録、(3)支払・禁止行為の遵守、(4)募集・配慮・ハラスメント・解除予告の実務化、(5)問題に気づいたら隠さず報告、を発注実務に落とすこと。</w:t>
      </w:r>
    </w:p>
    <w:p>
      <w:pPr>
        <w:spacing w:after="90" w:before="0" w:line="264"/>
      </w:pPr>
      <w:r>
        <w:rPr>
          <w:rFonts w:ascii="Meiryo" w:cs="Meiryo" w:eastAsia="Meiryo" w:hAnsi="Meiryo"/>
          <w:b/>
          <w:bCs/>
          <w:i w:val="false"/>
          <w:iCs w:val="false"/>
          <w:color w:val="237A75"/>
          <w:sz w:val="21"/>
          <w:szCs w:val="21"/>
        </w:rPr>
        <w:t xml:space="preserve">対象： </w:t>
      </w:r>
      <w:r>
        <w:rPr>
          <w:rFonts w:ascii="Meiryo" w:cs="Meiryo" w:eastAsia="Meiryo" w:hAnsi="Meiryo"/>
          <w:b w:val="false"/>
          <w:bCs w:val="false"/>
          <w:i w:val="false"/>
          <w:iCs w:val="false"/>
          <w:color w:val="263238"/>
          <w:sz w:val="21"/>
          <w:szCs w:val="21"/>
        </w:rPr>
        <w:t xml:space="preserve">全社員・管理職・役員／購買・調達・発注・外注・委託担当／制作・編集・デザイン・動画・広告・マーケ／システム・情シス・Web／ライティング・翻訳・撮影・イベント・講師・コンサル発注／営業・事業開発／人事・採用・広報・SNS運用／経理・支払・債務管理／法務・総務・コンプライアンス／委託先・ベンダー管理。</w:t>
      </w:r>
    </w:p>
    <w:p>
      <w:pPr>
        <w:spacing w:after="90" w:before="0" w:line="264"/>
      </w:pPr>
      <w:r>
        <w:rPr>
          <w:rFonts w:ascii="Meiryo" w:cs="Meiryo" w:eastAsia="Meiryo" w:hAnsi="Meiryo"/>
          <w:b/>
          <w:bCs/>
          <w:i w:val="false"/>
          <w:iCs w:val="false"/>
          <w:color w:val="237A75"/>
          <w:sz w:val="21"/>
          <w:szCs w:val="21"/>
        </w:rPr>
        <w:t xml:space="preserve">所要時間： </w:t>
      </w:r>
      <w:r>
        <w:rPr>
          <w:rFonts w:ascii="Meiryo" w:cs="Meiryo" w:eastAsia="Meiryo" w:hAnsi="Meiryo"/>
          <w:b w:val="false"/>
          <w:bCs w:val="false"/>
          <w:i w:val="false"/>
          <w:iCs w:val="false"/>
          <w:color w:val="263238"/>
          <w:sz w:val="21"/>
          <w:szCs w:val="21"/>
        </w:rPr>
        <w:t xml:space="preserve">45〜55分（ケース討議・発注前チェックシート演習を加える場合は70〜80分）。</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2. 他の研修回との違い（重複回避）</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1300"/>
        <w:gridCol w:w="3500"/>
        <w:gridCol w:w="4838"/>
      </w:tblGrid>
      <w:tr>
        <w:trPr>
          <w:tblHeader/>
        </w:trPr>
        <w:tc>
          <w:tcPr>
            <w:tcW w:type="dxa" w:w="13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回</w:t>
            </w:r>
          </w:p>
        </w:tc>
        <w:tc>
          <w:tcPr>
            <w:tcW w:type="dxa" w:w="35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主題</w:t>
            </w:r>
          </w:p>
        </w:tc>
        <w:tc>
          <w:tcPr>
            <w:tcW w:type="dxa" w:w="483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本回（第18回）との関係</w:t>
            </w:r>
          </w:p>
        </w:tc>
      </w:tr>
      <w:tr>
        <w:tc>
          <w:tcPr>
            <w:tcW w:type="dxa" w:w="13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第5・6回</w:t>
            </w:r>
          </w:p>
        </w:tc>
        <w:tc>
          <w:tcPr>
            <w:tcW w:type="dxa" w:w="35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セクハラ／求職者等セクハラ</w:t>
            </w:r>
          </w:p>
        </w:tc>
        <w:tc>
          <w:tcPr>
            <w:tcW w:type="dxa" w:w="48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ハラスメント詳細・境界事例はそちら。本回はフリーランスへの体制整備・相談対応・不利益取扱い防止に限定。</w:t>
            </w:r>
          </w:p>
        </w:tc>
      </w:tr>
      <w:tr>
        <w:tc>
          <w:tcPr>
            <w:tcW w:type="dxa" w:w="13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第17回</w:t>
            </w:r>
          </w:p>
        </w:tc>
        <w:tc>
          <w:tcPr>
            <w:tcW w:type="dxa" w:w="35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取適法（旧下請法）</w:t>
            </w:r>
          </w:p>
        </w:tc>
        <w:tc>
          <w:tcPr>
            <w:tcW w:type="dxa" w:w="48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中小受託事業者との取引・資本金/従業員基準はそちら。本回は個人フリーランスへの委託が中心。</w:t>
            </w:r>
          </w:p>
        </w:tc>
      </w:tr>
      <w:tr>
        <w:tc>
          <w:tcPr>
            <w:tcW w:type="dxa" w:w="13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第19回</w:t>
            </w:r>
          </w:p>
        </w:tc>
        <w:tc>
          <w:tcPr>
            <w:tcW w:type="dxa" w:w="35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契約書（締結権限・押印・電子契約）</w:t>
            </w:r>
          </w:p>
        </w:tc>
        <w:tc>
          <w:tcPr>
            <w:tcW w:type="dxa" w:w="48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契約形式・権限・台帳はそちら。本回は法定の取引条件明示・支払・解除予告・相談体制が中心。</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3. 事前準備・自社規程との整合確認</w:t>
      </w:r>
    </w:p>
    <w:p>
      <w:pPr>
        <w:spacing w:after="60" w:before="0" w:line="264"/>
      </w:pPr>
      <w:r>
        <w:rPr>
          <w:rFonts w:ascii="Meiryo" w:cs="Meiryo" w:eastAsia="Meiryo" w:hAnsi="Meiryo"/>
          <w:b w:val="false"/>
          <w:bCs w:val="false"/>
          <w:i w:val="false"/>
          <w:iCs w:val="false"/>
          <w:color w:val="263238"/>
          <w:sz w:val="21"/>
          <w:szCs w:val="21"/>
        </w:rPr>
        <w:t xml:space="preserve">次の自社規程・様式・運用を確認し、研修資料の【要自社記入】箇所を自社の内容に差し替えてください。</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フリーランス法対応規程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業務委託契約雛形</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発注書・注文書テンプレート</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取引条件明示テンプレート</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募集情報掲載ルール／募集媒体・SNS募集ルール</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報酬支払・経理ルール</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検収ルール</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追加発注・変更・修正対応ルール</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ハラスメント相談窓口／ハラスメント対応フロー</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育児介護等配慮対応フロー</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中途解除・不更新対応フロー／理由開示対応フロー</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労働者性確認フロー</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個人情報・営業秘密管理ルール</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発注システム・購買システム</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文書保存・証拠保全ルール</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内部通報規程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4. 相談・エスカレーション基準</w:t>
      </w:r>
    </w:p>
    <w:p>
      <w:pPr>
        <w:pStyle w:val="Heading2"/>
        <w:keepNext/>
        <w:keepLines/>
        <w:spacing w:after="80" w:before="170"/>
      </w:pPr>
      <w:r>
        <w:rPr>
          <w:rFonts w:ascii="Meiryo" w:cs="Meiryo" w:eastAsia="Meiryo" w:hAnsi="Meiryo"/>
          <w:b/>
          <w:bCs/>
          <w:i w:val="false"/>
          <w:iCs w:val="false"/>
          <w:color w:val="243B53"/>
          <w:sz w:val="23"/>
          <w:szCs w:val="23"/>
        </w:rPr>
        <w:t xml:space="preserve">4-1. 行政対応時のエスカレーション</w:t>
      </w:r>
    </w:p>
    <w:p>
      <w:pPr>
        <w:spacing w:after="90" w:before="0" w:line="264"/>
      </w:pPr>
      <w:r>
        <w:rPr>
          <w:rFonts w:ascii="Meiryo" w:cs="Meiryo" w:eastAsia="Meiryo" w:hAnsi="Meiryo"/>
          <w:b w:val="false"/>
          <w:bCs w:val="false"/>
          <w:i w:val="false"/>
          <w:iCs w:val="false"/>
          <w:color w:val="263238"/>
          <w:sz w:val="21"/>
          <w:szCs w:val="21"/>
        </w:rPr>
        <w:t xml:space="preserve">公正取引委員会・中小企業庁・厚生労働省・労働局からの照会、報告徴収・立入検査、指導・助言、勧告等の連絡を受けた場合は、現場で個別対応せず、直ちに法務・コンプライアンス（必要に応じ経営層）へエスカレーションします。</w:t>
      </w:r>
    </w:p>
    <w:p>
      <w:pPr>
        <w:pStyle w:val="ListParagraph"/>
        <w:numPr>
          <w:ilvl w:val="0"/>
          <w:numId w:val="3"/>
        </w:numPr>
        <w:spacing w:after="50" w:line="252"/>
      </w:pPr>
      <w:r>
        <w:rPr>
          <w:rFonts w:ascii="Meiryo" w:cs="Meiryo" w:eastAsia="Meiryo" w:hAnsi="Meiryo"/>
          <w:b w:val="false"/>
          <w:bCs w:val="false"/>
          <w:i w:val="false"/>
          <w:iCs w:val="false"/>
          <w:color w:val="263238"/>
          <w:sz w:val="21"/>
          <w:szCs w:val="21"/>
        </w:rPr>
        <w:t xml:space="preserve">行政からの連絡・書面は原本を保全し、回答前に法務・コンプライアンスへ共有する。</w:t>
      </w:r>
    </w:p>
    <w:p>
      <w:pPr>
        <w:pStyle w:val="ListParagraph"/>
        <w:numPr>
          <w:ilvl w:val="0"/>
          <w:numId w:val="3"/>
        </w:numPr>
        <w:spacing w:after="50" w:line="252"/>
      </w:pPr>
      <w:r>
        <w:rPr>
          <w:rFonts w:ascii="Meiryo" w:cs="Meiryo" w:eastAsia="Meiryo" w:hAnsi="Meiryo"/>
          <w:b w:val="false"/>
          <w:bCs w:val="false"/>
          <w:i w:val="false"/>
          <w:iCs w:val="false"/>
          <w:color w:val="263238"/>
          <w:sz w:val="21"/>
          <w:szCs w:val="21"/>
        </w:rPr>
        <w:t xml:space="preserve">命令違反、報告徴収・立入検査への対応不備等については、罰則の対象となり得るため、行政機関からの照会・連絡には現場で独断対応しない。</w:t>
      </w:r>
    </w:p>
    <w:p>
      <w:pPr>
        <w:pStyle w:val="Heading2"/>
        <w:keepNext/>
        <w:keepLines/>
        <w:spacing w:after="80" w:before="170"/>
      </w:pPr>
      <w:r>
        <w:rPr>
          <w:rFonts w:ascii="Meiryo" w:cs="Meiryo" w:eastAsia="Meiryo" w:hAnsi="Meiryo"/>
          <w:b/>
          <w:bCs/>
          <w:i w:val="false"/>
          <w:iCs w:val="false"/>
          <w:color w:val="243B53"/>
          <w:sz w:val="23"/>
          <w:szCs w:val="23"/>
        </w:rPr>
        <w:t xml:space="preserve">4-2. 部門別の相談基準</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2200"/>
        <w:gridCol w:w="7438"/>
      </w:tblGrid>
      <w:tr>
        <w:trPr>
          <w:tblHeader/>
        </w:trPr>
        <w:tc>
          <w:tcPr>
            <w:tcW w:type="dxa" w:w="22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相談先</w:t>
            </w:r>
          </w:p>
        </w:tc>
        <w:tc>
          <w:tcPr>
            <w:tcW w:type="dxa" w:w="743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主な相談内容</w:t>
            </w:r>
          </w:p>
        </w:tc>
      </w:tr>
      <w:tr>
        <w:tc>
          <w:tcPr>
            <w:tcW w:type="dxa" w:w="22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法務</w:t>
            </w:r>
          </w:p>
        </w:tc>
        <w:tc>
          <w:tcPr>
            <w:tcW w:type="dxa" w:w="74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該当性・違反該当性の評価、契約・解除・不更新、行政対応、労働者性の判断</w:t>
            </w:r>
          </w:p>
        </w:tc>
      </w:tr>
      <w:tr>
        <w:tc>
          <w:tcPr>
            <w:tcW w:type="dxa" w:w="22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人事</w:t>
            </w:r>
          </w:p>
        </w:tc>
        <w:tc>
          <w:tcPr>
            <w:tcW w:type="dxa" w:w="74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労働者性、育児介護等配慮、ハラスメント、不利益取扱い</w:t>
            </w:r>
          </w:p>
        </w:tc>
      </w:tr>
      <w:tr>
        <w:tc>
          <w:tcPr>
            <w:tcW w:type="dxa" w:w="22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購買・調達</w:t>
            </w:r>
          </w:p>
        </w:tc>
        <w:tc>
          <w:tcPr>
            <w:tcW w:type="dxa" w:w="74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発注手続・取引条件明示・委託先管理</w:t>
            </w:r>
          </w:p>
        </w:tc>
      </w:tr>
      <w:tr>
        <w:tc>
          <w:tcPr>
            <w:tcW w:type="dxa" w:w="22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経理・支払</w:t>
            </w:r>
          </w:p>
        </w:tc>
        <w:tc>
          <w:tcPr>
            <w:tcW w:type="dxa" w:w="74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支払期日・60日・再委託の例外・支払遅延のおそれ</w:t>
            </w:r>
          </w:p>
        </w:tc>
      </w:tr>
      <w:tr>
        <w:tc>
          <w:tcPr>
            <w:tcW w:type="dxa" w:w="22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コンプライアンス</w:t>
            </w:r>
          </w:p>
        </w:tc>
        <w:tc>
          <w:tcPr>
            <w:tcW w:type="dxa" w:w="74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内部通報、重大事案、行政対応の統括</w:t>
            </w:r>
          </w:p>
        </w:tc>
      </w:tr>
      <w:tr>
        <w:tc>
          <w:tcPr>
            <w:tcW w:type="dxa" w:w="22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事業部門・経営層</w:t>
            </w:r>
          </w:p>
        </w:tc>
        <w:tc>
          <w:tcPr>
            <w:tcW w:type="dxa" w:w="74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方針判断、レピュテーション、重大な取引変更</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5. 研修中に実際の相談が出た場合</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42318" w:sz="6"/>
              <w:left w:val="single" w:color="B42318" w:sz="18"/>
              <w:bottom w:val="single" w:color="B42318" w:sz="6"/>
              <w:right w:val="single" w:color="B42318" w:sz="6"/>
            </w:tcBorders>
            <w:shd w:fill="FBE9E7"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42318"/>
                <w:sz w:val="21"/>
                <w:szCs w:val="21"/>
              </w:rPr>
              <w:t xml:space="preserve">その場で結論を出さない</w:t>
            </w:r>
          </w:p>
          <w:p>
            <w:pPr>
              <w:spacing w:after="50" w:before="0" w:line="264"/>
            </w:pPr>
            <w:r>
              <w:rPr>
                <w:rFonts w:ascii="Meiryo" w:cs="Meiryo" w:eastAsia="Meiryo" w:hAnsi="Meiryo"/>
                <w:b w:val="false"/>
                <w:bCs w:val="false"/>
                <w:i w:val="false"/>
                <w:iCs w:val="false"/>
                <w:color w:val="263238"/>
                <w:sz w:val="20"/>
                <w:szCs w:val="20"/>
              </w:rPr>
              <w:t xml:space="preserve">受講者から具体的な案件相談（支払遅延・減額・解除・ハラスメント等）が出たら、研修の場で適法/違法の結論を出さない。</w:t>
            </w:r>
          </w:p>
          <w:p>
            <w:pPr>
              <w:spacing w:after="0" w:before="0" w:line="264"/>
            </w:pPr>
            <w:r>
              <w:rPr>
                <w:rFonts w:ascii="Meiryo" w:cs="Meiryo" w:eastAsia="Meiryo" w:hAnsi="Meiryo"/>
                <w:b w:val="false"/>
                <w:bCs w:val="false"/>
                <w:i w:val="false"/>
                <w:iCs w:val="false"/>
                <w:color w:val="263238"/>
                <w:sz w:val="20"/>
                <w:szCs w:val="20"/>
              </w:rPr>
              <w:t xml:space="preserve">個人名・取引先名・報酬額・契約書全文・相談内容を全体共有しない。匿名化し、終了後に正規窓口・法務へつなぐ。</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6. ケースの自社化</w:t>
      </w:r>
    </w:p>
    <w:p>
      <w:pPr>
        <w:pStyle w:val="ListParagraph"/>
        <w:numPr>
          <w:ilvl w:val="0"/>
          <w:numId w:val="3"/>
        </w:numPr>
        <w:spacing w:after="50" w:line="252"/>
      </w:pPr>
      <w:r>
        <w:rPr>
          <w:rFonts w:ascii="Meiryo" w:cs="Meiryo" w:eastAsia="Meiryo" w:hAnsi="Meiryo"/>
          <w:b w:val="false"/>
          <w:bCs w:val="false"/>
          <w:i w:val="false"/>
          <w:iCs w:val="false"/>
          <w:color w:val="263238"/>
          <w:sz w:val="21"/>
          <w:szCs w:val="21"/>
        </w:rPr>
        <w:t xml:space="preserve">ケースワークブックの事例は架空です。自社化する際は実在の個人・取引先・案件・媒体名を使わない。</w:t>
      </w:r>
    </w:p>
    <w:p>
      <w:pPr>
        <w:pStyle w:val="ListParagraph"/>
        <w:numPr>
          <w:ilvl w:val="0"/>
          <w:numId w:val="3"/>
        </w:numPr>
        <w:spacing w:after="50" w:line="252"/>
      </w:pPr>
      <w:r>
        <w:rPr>
          <w:rFonts w:ascii="Meiryo" w:cs="Meiryo" w:eastAsia="Meiryo" w:hAnsi="Meiryo"/>
          <w:b w:val="false"/>
          <w:bCs w:val="false"/>
          <w:i w:val="false"/>
          <w:iCs w:val="false"/>
          <w:color w:val="263238"/>
          <w:sz w:val="21"/>
          <w:szCs w:val="21"/>
        </w:rPr>
        <w:t xml:space="preserve">自社で起きやすい委託類型（制作・開発・動画・原稿・コンサル等）に合わせて場面を調整する。</w:t>
      </w:r>
    </w:p>
    <w:p>
      <w:pPr>
        <w:pStyle w:val="ListParagraph"/>
        <w:numPr>
          <w:ilvl w:val="0"/>
          <w:numId w:val="3"/>
        </w:numPr>
        <w:spacing w:after="50" w:line="252"/>
      </w:pPr>
      <w:r>
        <w:rPr>
          <w:rFonts w:ascii="Meiryo" w:cs="Meiryo" w:eastAsia="Meiryo" w:hAnsi="Meiryo"/>
          <w:b w:val="false"/>
          <w:bCs w:val="false"/>
          <w:i w:val="false"/>
          <w:iCs w:val="false"/>
          <w:color w:val="263238"/>
          <w:sz w:val="21"/>
          <w:szCs w:val="21"/>
        </w:rPr>
        <w:t xml:space="preserve">自社の発注書・支払ルール・相談窓口に合わせて「対応の方向」を補正する。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7. 受講記録・テスト管理・フォロー</w:t>
      </w:r>
    </w:p>
    <w:p>
      <w:pPr>
        <w:pStyle w:val="ListParagraph"/>
        <w:numPr>
          <w:ilvl w:val="0"/>
          <w:numId w:val="4"/>
        </w:numPr>
        <w:spacing w:after="50" w:line="256"/>
      </w:pPr>
      <w:r>
        <w:rPr>
          <w:rFonts w:ascii="Meiryo" w:cs="Meiryo" w:eastAsia="Meiryo" w:hAnsi="Meiryo"/>
          <w:b w:val="false"/>
          <w:bCs w:val="false"/>
          <w:i w:val="false"/>
          <w:iCs w:val="false"/>
          <w:color w:val="263238"/>
          <w:sz w:val="21"/>
          <w:szCs w:val="21"/>
        </w:rPr>
        <w:t xml:space="preserve">受講記録：受講日・対象者・実施形態（集合／オンライン）・講師を記録する。</w:t>
      </w:r>
    </w:p>
    <w:p>
      <w:pPr>
        <w:pStyle w:val="ListParagraph"/>
        <w:numPr>
          <w:ilvl w:val="0"/>
          <w:numId w:val="4"/>
        </w:numPr>
        <w:spacing w:after="50" w:line="256"/>
      </w:pPr>
      <w:r>
        <w:rPr>
          <w:rFonts w:ascii="Meiryo" w:cs="Meiryo" w:eastAsia="Meiryo" w:hAnsi="Meiryo"/>
          <w:b w:val="false"/>
          <w:bCs w:val="false"/>
          <w:i w:val="false"/>
          <w:iCs w:val="false"/>
          <w:color w:val="263238"/>
          <w:sz w:val="21"/>
          <w:szCs w:val="21"/>
        </w:rPr>
        <w:t xml:space="preserve">確認テスト管理：採点（／12点）と誤答傾向を記録し、弱点論点を次回に反映する。</w:t>
      </w:r>
    </w:p>
    <w:p>
      <w:pPr>
        <w:pStyle w:val="ListParagraph"/>
        <w:numPr>
          <w:ilvl w:val="0"/>
          <w:numId w:val="4"/>
        </w:numPr>
        <w:spacing w:after="50" w:line="256"/>
      </w:pPr>
      <w:r>
        <w:rPr>
          <w:rFonts w:ascii="Meiryo" w:cs="Meiryo" w:eastAsia="Meiryo" w:hAnsi="Meiryo"/>
          <w:b w:val="false"/>
          <w:bCs w:val="false"/>
          <w:i w:val="false"/>
          <w:iCs w:val="false"/>
          <w:color w:val="263238"/>
          <w:sz w:val="21"/>
          <w:szCs w:val="21"/>
        </w:rPr>
        <w:t xml:space="preserve">欠席者フォロー：資料配布・動画視聴・後日テストで補完する。</w:t>
      </w:r>
    </w:p>
    <w:p>
      <w:pPr>
        <w:pStyle w:val="ListParagraph"/>
        <w:numPr>
          <w:ilvl w:val="0"/>
          <w:numId w:val="4"/>
        </w:numPr>
        <w:spacing w:after="50" w:line="256"/>
      </w:pPr>
      <w:r>
        <w:rPr>
          <w:rFonts w:ascii="Meiryo" w:cs="Meiryo" w:eastAsia="Meiryo" w:hAnsi="Meiryo"/>
          <w:b w:val="false"/>
          <w:bCs w:val="false"/>
          <w:i w:val="false"/>
          <w:iCs w:val="false"/>
          <w:color w:val="263238"/>
          <w:sz w:val="21"/>
          <w:szCs w:val="21"/>
        </w:rPr>
        <w:t xml:space="preserve">再研修の目安：年1回、又は法令・自社規程の改定時、勧告事例の公表時などに実施する。</w:t>
      </w:r>
    </w:p>
    <w:p>
      <w:pPr>
        <w:pStyle w:val="Heading2"/>
        <w:keepNext/>
        <w:keepLines/>
        <w:spacing w:after="80" w:before="170"/>
      </w:pPr>
      <w:r>
        <w:rPr>
          <w:rFonts w:ascii="Meiryo" w:cs="Meiryo" w:eastAsia="Meiryo" w:hAnsi="Meiryo"/>
          <w:b/>
          <w:bCs/>
          <w:i w:val="false"/>
          <w:iCs w:val="false"/>
          <w:color w:val="243B53"/>
          <w:sz w:val="23"/>
          <w:szCs w:val="23"/>
        </w:rPr>
        <w:t xml:space="preserve">受講記録（記入欄）</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2600"/>
        <w:gridCol w:w="7038"/>
      </w:tblGrid>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実施日</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対象・人数</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実施形態</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講師</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平均点／回収数</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要フォロー事項</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8. 資料の版管理</w:t>
      </w:r>
    </w:p>
    <w:p>
      <w:pPr>
        <w:pStyle w:val="ListParagraph"/>
        <w:numPr>
          <w:ilvl w:val="0"/>
          <w:numId w:val="3"/>
        </w:numPr>
        <w:spacing w:after="50" w:line="252"/>
      </w:pPr>
      <w:r>
        <w:rPr>
          <w:rFonts w:ascii="Meiryo" w:cs="Meiryo" w:eastAsia="Meiryo" w:hAnsi="Meiryo"/>
          <w:b w:val="false"/>
          <w:bCs w:val="false"/>
          <w:i w:val="false"/>
          <w:iCs w:val="false"/>
          <w:color w:val="263238"/>
          <w:sz w:val="21"/>
          <w:szCs w:val="21"/>
        </w:rPr>
        <w:t xml:space="preserve">各ファイルに版数・改定日・改定理由を記録する（例：v1.0／2026年6月18日／初版）。</w:t>
      </w:r>
    </w:p>
    <w:p>
      <w:pPr>
        <w:pStyle w:val="ListParagraph"/>
        <w:numPr>
          <w:ilvl w:val="0"/>
          <w:numId w:val="3"/>
        </w:numPr>
        <w:spacing w:after="50" w:line="252"/>
      </w:pPr>
      <w:r>
        <w:rPr>
          <w:rFonts w:ascii="Meiryo" w:cs="Meiryo" w:eastAsia="Meiryo" w:hAnsi="Meiryo"/>
          <w:b w:val="false"/>
          <w:bCs w:val="false"/>
          <w:i w:val="false"/>
          <w:iCs w:val="false"/>
          <w:color w:val="263238"/>
          <w:sz w:val="21"/>
          <w:szCs w:val="21"/>
        </w:rPr>
        <w:t xml:space="preserve">法令・公的資料（解釈ガイドライン・指針・Q&amp;A等）の改定を確認し、内容を更新する。</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2600"/>
        <w:gridCol w:w="7038"/>
      </w:tblGrid>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版数</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改定日</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改定理由</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6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承認者</w:t>
            </w:r>
          </w:p>
        </w:tc>
        <w:tc>
          <w:tcPr>
            <w:tcW w:type="dxa" w:w="70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9. 講師が言ってはいけない説明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発注は危ないから避けるべき／フリーランスには労働法も取引法も関係ない</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契約書があれば何をしてもよい／口頭発注で足りる／条件は後で決めればよい</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請求書が来てから60日でよい／元委託の入金がなければ支払を遅らせてよい</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本人同意があれば減額・返品・無償やり直しは常に問題ない／1か月未満なら何をしてもよい</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募集情報は多少盛ってよい／相談窓口を置くだけで十分／業務委託に配慮は不要</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契約書に解除条項があればいつでも自由に終了してよい</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フリーランス法を守れば労働者性の問題は必ずなくなる</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該当性・違反該当性・労働者性・ハラスメント該当性を現場やAIが最終判断できる</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この研修だけでフリーランス法対応体制が完成する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10. 自社用カスタマイズチェックリスト</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記事・資料中の【要自社記入】をすべて自社の内容に差し替えたか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相談窓口・申出先・通報窓口の連絡先を記入したか（架空の連絡先を作っていないか）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発注書・取引条件明示・募集情報・支払・検収の各ルールと整合しているか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ケースを自社化し、固有名・報酬額を伏せたか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法令・公的資料の最新版を確認し、基準日を更新したか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テスト・解答・スライドの対応関係を確認したか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「そのまま使える」ではなく自社ルール補充前提の表現になっているか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11. 自社確認・差替え事項と相談窓口</w:t>
      </w:r>
    </w:p>
    <w:p>
      <w:pPr>
        <w:spacing w:after="50" w:before="0" w:line="264"/>
      </w:pPr>
      <w:r>
        <w:rPr>
          <w:rFonts w:ascii="Meiryo" w:cs="Meiryo" w:eastAsia="Meiryo" w:hAnsi="Meiryo"/>
          <w:b w:val="false"/>
          <w:bCs w:val="false"/>
          <w:i w:val="false"/>
          <w:iCs w:val="false"/>
          <w:color w:val="5B6770"/>
          <w:sz w:val="19"/>
          <w:szCs w:val="19"/>
        </w:rPr>
        <w:t xml:space="preserve">架空の連絡先は作らず、次の様式で自社の窓口を記入してください。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【要自社記入：フリーランス法・業務委託に関する相談窓口】</w:t>
            </w:r>
          </w:p>
          <w:p>
            <w:pPr>
              <w:spacing w:after="50" w:before="0" w:line="264"/>
            </w:pPr>
            <w:r>
              <w:rPr>
                <w:rFonts w:ascii="Meiryo" w:cs="Meiryo" w:eastAsia="Meiryo" w:hAnsi="Meiryo"/>
                <w:b w:val="false"/>
                <w:bCs w:val="false"/>
                <w:i w:val="false"/>
                <w:iCs w:val="false"/>
                <w:color w:val="263238"/>
                <w:sz w:val="20"/>
                <w:szCs w:val="20"/>
              </w:rPr>
              <w:t xml:space="preserve">所管部署：</w:t>
            </w:r>
          </w:p>
          <w:p>
            <w:pPr>
              <w:spacing w:after="50" w:before="0" w:line="264"/>
            </w:pPr>
            <w:r>
              <w:rPr>
                <w:rFonts w:ascii="Meiryo" w:cs="Meiryo" w:eastAsia="Meiryo" w:hAnsi="Meiryo"/>
                <w:b w:val="false"/>
                <w:bCs w:val="false"/>
                <w:i w:val="false"/>
                <w:iCs w:val="false"/>
                <w:color w:val="263238"/>
                <w:sz w:val="20"/>
                <w:szCs w:val="20"/>
              </w:rPr>
              <w:t xml:space="preserve">担当者・連絡先：</w:t>
            </w:r>
          </w:p>
          <w:p>
            <w:pPr>
              <w:spacing w:after="50" w:before="0" w:line="264"/>
            </w:pPr>
            <w:r>
              <w:rPr>
                <w:rFonts w:ascii="Meiryo" w:cs="Meiryo" w:eastAsia="Meiryo" w:hAnsi="Meiryo"/>
                <w:b w:val="false"/>
                <w:bCs w:val="false"/>
                <w:i w:val="false"/>
                <w:iCs w:val="false"/>
                <w:color w:val="263238"/>
                <w:sz w:val="20"/>
                <w:szCs w:val="20"/>
              </w:rPr>
              <w:t xml:space="preserve">受付方法（メール／フォーム／電話）：</w:t>
            </w:r>
          </w:p>
          <w:p>
            <w:pPr>
              <w:spacing w:after="50" w:before="0" w:line="264"/>
            </w:pPr>
            <w:r>
              <w:rPr>
                <w:rFonts w:ascii="Meiryo" w:cs="Meiryo" w:eastAsia="Meiryo" w:hAnsi="Meiryo"/>
                <w:b w:val="false"/>
                <w:bCs w:val="false"/>
                <w:i w:val="false"/>
                <w:iCs w:val="false"/>
                <w:color w:val="263238"/>
                <w:sz w:val="20"/>
                <w:szCs w:val="20"/>
              </w:rPr>
              <w:t xml:space="preserve">ハラスメント相談窓口：</w:t>
            </w:r>
          </w:p>
          <w:p>
            <w:pPr>
              <w:spacing w:after="50" w:before="0" w:line="264"/>
            </w:pPr>
            <w:r>
              <w:rPr>
                <w:rFonts w:ascii="Meiryo" w:cs="Meiryo" w:eastAsia="Meiryo" w:hAnsi="Meiryo"/>
                <w:b w:val="false"/>
                <w:bCs w:val="false"/>
                <w:i w:val="false"/>
                <w:iCs w:val="false"/>
                <w:color w:val="263238"/>
                <w:sz w:val="20"/>
                <w:szCs w:val="20"/>
              </w:rPr>
              <w:t xml:space="preserve">育児介護等配慮の申出先：</w:t>
            </w:r>
          </w:p>
          <w:p>
            <w:pPr>
              <w:spacing w:after="0" w:before="0" w:line="264"/>
            </w:pPr>
            <w:r>
              <w:rPr>
                <w:rFonts w:ascii="Meiryo" w:cs="Meiryo" w:eastAsia="Meiryo" w:hAnsi="Meiryo"/>
                <w:b w:val="false"/>
                <w:bCs w:val="false"/>
                <w:i w:val="false"/>
                <w:iCs w:val="false"/>
                <w:color w:val="263238"/>
                <w:sz w:val="20"/>
                <w:szCs w:val="20"/>
              </w:rPr>
              <w:t xml:space="preserve">内部通報窓口：</w:t>
            </w:r>
          </w:p>
        </w:tc>
      </w:tr>
    </w:tbl>
    <w:p>
      <w:pPr>
        <w:spacing w:after="120" w:before="0" w:line="264"/>
      </w:pPr>
      <w:r>
        <w:rPr>
          <w:rFonts w:ascii="Meiryo" w:cs="Meiryo" w:eastAsia="Meiryo" w:hAnsi="Meiryo"/>
          <w:b w:val="false"/>
          <w:bCs w:val="false"/>
          <w:i w:val="false"/>
          <w:iCs w:val="false"/>
          <w:color w:val="263238"/>
          <w:sz w:val="21"/>
          <w:szCs w:val="21"/>
        </w:rPr>
        <w:t xml:space="preserve"/>
      </w:r>
    </w:p>
    <w:p>
      <w:pPr>
        <w:pStyle w:val="Heading2"/>
        <w:keepNext/>
        <w:keepLines/>
        <w:spacing w:after="80" w:before="170"/>
      </w:pPr>
      <w:r>
        <w:rPr>
          <w:rFonts w:ascii="Meiryo" w:cs="Meiryo" w:eastAsia="Meiryo" w:hAnsi="Meiryo"/>
          <w:b/>
          <w:bCs/>
          <w:i w:val="false"/>
          <w:iCs w:val="false"/>
          <w:color w:val="243B53"/>
          <w:sz w:val="23"/>
          <w:szCs w:val="23"/>
        </w:rPr>
        <w:t xml:space="preserve">参考資料（一次資料・公的資料）</w:t>
      </w:r>
    </w:p>
    <w:p>
      <w:pPr>
        <w:spacing w:after="60" w:before="0" w:line="264"/>
      </w:pPr>
      <w:r>
        <w:rPr>
          <w:rFonts w:ascii="Meiryo" w:cs="Meiryo" w:eastAsia="Meiryo" w:hAnsi="Meiryo"/>
          <w:b w:val="false"/>
          <w:bCs w:val="false"/>
          <w:i w:val="false"/>
          <w:iCs w:val="false"/>
          <w:color w:val="263238"/>
          <w:sz w:val="19"/>
          <w:szCs w:val="19"/>
        </w:rPr>
        <w:t xml:space="preserve">民間の解説記事だけに依存せず、必ず次の一次資料・公的資料の最新版を確認してください。</w:t>
      </w:r>
    </w:p>
    <w:p>
      <w:pPr>
        <w:pStyle w:val="ListParagraph"/>
        <w:numPr>
          <w:ilvl w:val="0"/>
          <w:numId w:val="3"/>
        </w:numPr>
        <w:spacing w:after="50" w:line="252"/>
      </w:pPr>
      <w:r>
        <w:rPr>
          <w:rFonts w:ascii="Meiryo" w:cs="Meiryo" w:eastAsia="Meiryo" w:hAnsi="Meiryo"/>
          <w:b w:val="false"/>
          <w:bCs w:val="false"/>
          <w:i w:val="false"/>
          <w:iCs w:val="false"/>
          <w:color w:val="263238"/>
          <w:sz w:val="19"/>
          <w:szCs w:val="19"/>
        </w:rPr>
        <w:t xml:space="preserve">厚生労働省「フリーランスとして業務を行う方・フリーランスの方に業務を委託する事業者の方等へ」</w:t>
      </w:r>
    </w:p>
    <w:p>
      <w:pPr>
        <w:pStyle w:val="ListParagraph"/>
        <w:numPr>
          <w:ilvl w:val="0"/>
          <w:numId w:val="3"/>
        </w:numPr>
        <w:spacing w:after="50" w:line="252"/>
      </w:pPr>
      <w:r>
        <w:rPr>
          <w:rFonts w:ascii="Meiryo" w:cs="Meiryo" w:eastAsia="Meiryo" w:hAnsi="Meiryo"/>
          <w:b w:val="false"/>
          <w:bCs w:val="false"/>
          <w:i w:val="false"/>
          <w:iCs w:val="false"/>
          <w:color w:val="263238"/>
          <w:sz w:val="19"/>
          <w:szCs w:val="19"/>
        </w:rPr>
        <w:t xml:space="preserve">公正取引委員会「フリーランスの取引適正化に向けた公正取引委員会の取組」／フリーランス法特設サイト</w:t>
      </w:r>
    </w:p>
    <w:p>
      <w:pPr>
        <w:pStyle w:val="ListParagraph"/>
        <w:numPr>
          <w:ilvl w:val="0"/>
          <w:numId w:val="3"/>
        </w:numPr>
        <w:spacing w:after="50" w:line="252"/>
      </w:pPr>
      <w:r>
        <w:rPr>
          <w:rFonts w:ascii="Meiryo" w:cs="Meiryo" w:eastAsia="Meiryo" w:hAnsi="Meiryo"/>
          <w:b w:val="false"/>
          <w:bCs w:val="false"/>
          <w:i w:val="false"/>
          <w:iCs w:val="false"/>
          <w:color w:val="263238"/>
          <w:sz w:val="19"/>
          <w:szCs w:val="19"/>
        </w:rPr>
        <w:t xml:space="preserve">e-Gov法令検索「特定受託事業者に係る取引の適正化等に関する法律」（令和5年法律第25号）</w:t>
      </w:r>
    </w:p>
    <w:p>
      <w:pPr>
        <w:pStyle w:val="ListParagraph"/>
        <w:numPr>
          <w:ilvl w:val="0"/>
          <w:numId w:val="3"/>
        </w:numPr>
        <w:spacing w:after="50" w:line="252"/>
      </w:pPr>
      <w:r>
        <w:rPr>
          <w:rFonts w:ascii="Meiryo" w:cs="Meiryo" w:eastAsia="Meiryo" w:hAnsi="Meiryo"/>
          <w:b w:val="false"/>
          <w:bCs w:val="false"/>
          <w:i w:val="false"/>
          <w:iCs w:val="false"/>
          <w:color w:val="263238"/>
          <w:sz w:val="19"/>
          <w:szCs w:val="19"/>
        </w:rPr>
        <w:t xml:space="preserve">公正取引委員会・厚生労働省「特定受託事業者に係る取引の適正化等に関する法律の考え方」（解釈ガイドライン）</w:t>
      </w:r>
    </w:p>
    <w:p>
      <w:pPr>
        <w:pStyle w:val="ListParagraph"/>
        <w:numPr>
          <w:ilvl w:val="0"/>
          <w:numId w:val="3"/>
        </w:numPr>
        <w:spacing w:after="50" w:line="252"/>
      </w:pPr>
      <w:r>
        <w:rPr>
          <w:rFonts w:ascii="Meiryo" w:cs="Meiryo" w:eastAsia="Meiryo" w:hAnsi="Meiryo"/>
          <w:b w:val="false"/>
          <w:bCs w:val="false"/>
          <w:i w:val="false"/>
          <w:iCs w:val="false"/>
          <w:color w:val="263238"/>
          <w:sz w:val="19"/>
          <w:szCs w:val="19"/>
        </w:rPr>
        <w:t xml:space="preserve">厚生労働省「特定業務委託事業者が募集情報の的確な表示・育児介護等への配慮・ハラスメント対策等に関して講ずべき措置等に関する指針」</w:t>
      </w:r>
    </w:p>
    <w:p>
      <w:pPr>
        <w:pStyle w:val="ListParagraph"/>
        <w:numPr>
          <w:ilvl w:val="0"/>
          <w:numId w:val="3"/>
        </w:numPr>
        <w:spacing w:after="50" w:line="252"/>
      </w:pPr>
      <w:r>
        <w:rPr>
          <w:rFonts w:ascii="Meiryo" w:cs="Meiryo" w:eastAsia="Meiryo" w:hAnsi="Meiryo"/>
          <w:b w:val="false"/>
          <w:bCs w:val="false"/>
          <w:i w:val="false"/>
          <w:iCs w:val="false"/>
          <w:color w:val="263238"/>
          <w:sz w:val="19"/>
          <w:szCs w:val="19"/>
        </w:rPr>
        <w:t xml:space="preserve">内閣官房「特定受託事業者に係る取引の適正化等に関する法律等に係る取組について」</w:t>
      </w:r>
    </w:p>
    <w:p>
      <w:pPr>
        <w:pStyle w:val="Heading2"/>
        <w:keepNext/>
        <w:keepLines/>
        <w:spacing w:after="80" w:before="170"/>
      </w:pPr>
      <w:r>
        <w:rPr>
          <w:rFonts w:ascii="Meiryo" w:cs="Meiryo" w:eastAsia="Meiryo" w:hAnsi="Meiryo"/>
          <w:b/>
          <w:bCs/>
          <w:i w:val="false"/>
          <w:iCs w:val="false"/>
          <w:color w:val="243B53"/>
          <w:sz w:val="23"/>
          <w:szCs w:val="23"/>
        </w:rPr>
        <w:t xml:space="preserve">注意事項</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本ガイドの位置付け</w:t>
            </w:r>
          </w:p>
          <w:p>
            <w:pPr>
              <w:spacing w:after="50" w:before="0" w:line="264"/>
            </w:pPr>
            <w:r>
              <w:rPr>
                <w:rFonts w:ascii="Meiryo" w:cs="Meiryo" w:eastAsia="Meiryo" w:hAnsi="Meiryo"/>
                <w:b w:val="false"/>
                <w:bCs w:val="false"/>
                <w:i w:val="false"/>
                <w:iCs w:val="false"/>
                <w:color w:val="263238"/>
                <w:sz w:val="20"/>
                <w:szCs w:val="20"/>
              </w:rPr>
              <w:t xml:space="preserve">本資料は社員教育を目的とした一般的な解説であり、特定の事案に対する法的助言ではありません。</w:t>
            </w:r>
          </w:p>
          <w:p>
            <w:pPr>
              <w:spacing w:after="50" w:before="0" w:line="264"/>
            </w:pPr>
            <w:r>
              <w:rPr>
                <w:rFonts w:ascii="Meiryo" w:cs="Meiryo" w:eastAsia="Meiryo" w:hAnsi="Meiryo"/>
                <w:b w:val="false"/>
                <w:bCs w:val="false"/>
                <w:i w:val="false"/>
                <w:iCs w:val="false"/>
                <w:color w:val="263238"/>
                <w:sz w:val="20"/>
                <w:szCs w:val="20"/>
              </w:rPr>
              <w:t xml:space="preserve">フリーランス法該当性・違反該当性・労働者性・ハラスメント該当性・行政対応は、現場担当者やAIが最終判断するものではありません。</w:t>
            </w:r>
          </w:p>
          <w:p>
            <w:pPr>
              <w:spacing w:after="50" w:before="0" w:line="264"/>
            </w:pPr>
            <w:r>
              <w:rPr>
                <w:rFonts w:ascii="Meiryo" w:cs="Meiryo" w:eastAsia="Meiryo" w:hAnsi="Meiryo"/>
                <w:b w:val="false"/>
                <w:bCs w:val="false"/>
                <w:i w:val="false"/>
                <w:iCs w:val="false"/>
                <w:color w:val="263238"/>
                <w:sz w:val="20"/>
                <w:szCs w:val="20"/>
              </w:rPr>
              <w:t xml:space="preserve">個別案件では、フリーランスの氏名・報酬額・契約書全文・相談内容・個人情報・営業秘密をそのまま外部AIへ入力せず、匿名化・マスキングを行い、自社承認済み環境と人による確認を前提としてください。</w:t>
            </w:r>
          </w:p>
          <w:p>
            <w:pPr>
              <w:spacing w:after="0" w:before="0" w:line="264"/>
            </w:pPr>
            <w:r>
              <w:rPr>
                <w:rFonts w:ascii="Meiryo" w:cs="Meiryo" w:eastAsia="Meiryo" w:hAnsi="Meiryo"/>
                <w:b w:val="false"/>
                <w:bCs w:val="false"/>
                <w:i w:val="false"/>
                <w:iCs w:val="false"/>
                <w:color w:val="263238"/>
                <w:sz w:val="20"/>
                <w:szCs w:val="20"/>
              </w:rPr>
              <w:t xml:space="preserve">本研修だけでフリーランス法対応体制が完成するわけではありません。社内規程と関係部門・専門家への相談で補完してください。</w:t>
            </w:r>
          </w:p>
        </w:tc>
      </w:tr>
    </w:tbl>
    <w:sectPr>
      <w:footerReference w:type="default" r:id="rId7"/>
      <w:pgSz w:w="11906" w:h="16838" w:orient="portrait"/>
      <w:pgMar w:top="1134" w:right="1134" w:bottom="1134"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A" w:sz="4" w:space="4"/>
      </w:pBdr>
      <w:tabs>
        <w:tab w:val="right" w:pos="9638"/>
      </w:tabs>
    </w:pPr>
    <w:r>
      <w:rPr>
        <w:rFonts w:ascii="Meiryo" w:cs="Meiryo" w:eastAsia="Meiryo" w:hAnsi="Meiryo"/>
        <w:b w:val="false"/>
        <w:bCs w:val="false"/>
        <w:i w:val="false"/>
        <w:iCs w:val="false"/>
        <w:color w:val="5B6770"/>
        <w:sz w:val="15"/>
        <w:szCs w:val="15"/>
      </w:rPr>
      <w:t xml:space="preserve">Legal GPT｜第18回 フリーランス法研修　実施ガイド</w:t>
    </w:r>
    <w:r>
      <w:rPr>
        <w:rFonts w:ascii="Meiryo" w:cs="Meiryo" w:eastAsia="Meiryo" w:hAnsi="Meiryo"/>
      </w:rPr>
      <w:t xml:space="preserve">	</w:t>
    </w:r>
    <w:r>
      <w:rPr>
        <w:rFonts w:ascii="Meiryo" w:cs="Meiryo" w:eastAsia="Meiryo" w:hAnsi="Meiryo"/>
        <w:color w:val="5B6770"/>
        <w:sz w:val="15"/>
        <w:szCs w:val="15"/>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bullet"/>
      <w:lvlText w:val="☐"/>
      <w:lvlJc w:val="left"/>
      <w:pPr>
        <w:ind w:left="460" w:hanging="300"/>
      </w:pPr>
      <w:rPr>
        <w:color w:val="243B53"/>
      </w:rPr>
    </w:lvl>
  </w:abstractNum>
  <w:abstractNum w:abstractNumId="4" w15:restartNumberingAfterBreak="0">
    <w:multiLevelType w:val="hybridMultilevel"/>
    <w:lvl w:ilvl="0" w15:tentative="1">
      <w:start w:val="1"/>
      <w:numFmt w:val="decimal"/>
      <w:lvlText w:val="%1."/>
      <w:lvlJc w:val="left"/>
      <w:pPr>
        <w:ind w:left="470" w:hanging="330"/>
      </w:pPr>
    </w:lvl>
  </w:abstractNum>
  <w:abstractNum w:abstractNumId="5" w15:restartNumberingAfterBreak="0">
    <w:multiLevelType w:val="hybridMultilevel"/>
    <w:lvl w:ilvl="0" w15:tentative="1">
      <w:start w:val="1"/>
      <w:numFmt w:val="decimal"/>
      <w:lvlText w:val="%1."/>
      <w:lvlJc w:val="left"/>
      <w:pPr>
        <w:ind w:left="470" w:hanging="33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20"/>
      <w:outlineLvl w:val="0"/>
    </w:pPr>
    <w:rPr>
      <w:rFonts w:ascii="Meiryo" w:cs="Meiryo" w:eastAsia="Meiryo" w:hAnsi="Meiryo"/>
      <w:b/>
      <w:bCs/>
      <w:color w:val="16314F"/>
      <w:sz w:val="28"/>
      <w:szCs w:val="28"/>
    </w:rPr>
  </w:style>
  <w:style w:type="paragraph" w:styleId="Heading2">
    <w:name w:val="Heading 2"/>
    <w:basedOn w:val="Normal"/>
    <w:next w:val="Normal"/>
    <w:qFormat/>
    <w:pPr>
      <w:spacing w:after="80" w:before="170"/>
      <w:outlineLvl w:val="1"/>
    </w:pPr>
    <w:rPr>
      <w:rFonts w:ascii="Meiryo" w:cs="Meiryo" w:eastAsia="Meiryo" w:hAnsi="Meiryo"/>
      <w:b/>
      <w:bCs/>
      <w:color w:val="243B53"/>
      <w:sz w:val="23"/>
      <w:szCs w:val="23"/>
    </w:rPr>
  </w:style>
  <w:style w:type="paragraph" w:styleId="Heading3">
    <w:name w:val="Heading 3"/>
    <w:basedOn w:val="Normal"/>
    <w:next w:val="Normal"/>
    <w:qFormat/>
    <w:pPr>
      <w:spacing w:after="60" w:before="120"/>
      <w:outlineLvl w:val="2"/>
    </w:pPr>
    <w:rPr>
      <w:rFonts w:ascii="Meiryo" w:cs="Meiryo" w:eastAsia="Meiryo" w:hAnsi="Meiryo"/>
      <w:b/>
      <w:bCs/>
      <w:color w:val="237A75"/>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2026-06-23T04:27:50.550Z</dcterms:created>
  <dcterms:modified xsi:type="dcterms:W3CDTF">2026-06-23T04:27:50.550Z</dcterms:modified>
</cp:coreProperties>
</file>

<file path=docProps/custom.xml><?xml version="1.0" encoding="utf-8"?>
<Properties xmlns="http://schemas.openxmlformats.org/officeDocument/2006/custom-properties" xmlns:vt="http://schemas.openxmlformats.org/officeDocument/2006/docPropsVTypes"/>
</file>