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Meiryo" w:cs="Meiryo" w:eastAsia="Meiryo" w:hAnsi="Meiryo"/>
          <w:b/>
          <w:bCs/>
          <w:color w:val="B58A3A"/>
          <w:sz w:val="18"/>
          <w:szCs w:val="18"/>
        </w:rPr>
        <w:t xml:space="preserve">法務・総務のための社内研修資料20選</w:t>
      </w:r>
      <w:r>
        <w:rPr>
          <w:rFonts w:ascii="Meiryo" w:cs="Meiryo" w:eastAsia="Meiryo" w:hAnsi="Meiryo"/>
          <w:color w:val="5C6B78"/>
          <w:sz w:val="18"/>
          <w:szCs w:val="18"/>
        </w:rPr>
        <w:t xml:space="preserve">　｜　第19回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16314F"/>
          <w:sz w:val="34"/>
          <w:szCs w:val="34"/>
        </w:rPr>
        <w:t xml:space="preserve">確認テスト　解答・解説集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243B53"/>
          <w:sz w:val="19"/>
          <w:szCs w:val="19"/>
        </w:rPr>
        <w:t xml:space="preserve">講師・採点者用　／　全12問（各問の正解・解説・対応スライド付き）</w:t>
      </w:r>
    </w:p>
    <w:p>
      <w:pPr>
        <w:spacing w:after="80"/>
      </w:pPr>
      <w:r>
        <w:rPr>
          <w:rFonts w:ascii="Meiryo" w:cs="Meiryo" w:eastAsia="Meiryo" w:hAnsi="Meiryo"/>
          <w:color w:val="263238"/>
          <w:sz w:val="20"/>
          <w:szCs w:val="20"/>
        </w:rPr>
        <w:t xml:space="preserve">各問の正解、関連リスク、他の選択肢が適切でない理由、現場で取るべき対応、義務／自社ルール／推奨実務の区別、対応スライドを示します。</w:t>
      </w:r>
    </w:p>
    <w:p>
      <w:pPr>
        <w:pBdr>
          <w:bottom w:val="single" w:color="16314F" w:sz="18" w:space="4"/>
        </w:pBdr>
        <w:spacing w:after="0"/>
      </w:pPr>
      <w:r>
        <w:rPr>
          <w:sz w:val="2"/>
          <w:szCs w:val="2"/>
        </w:rPr>
        <w:t xml:space="preserve"/>
      </w:r>
    </w:p>
    <w:p>
      <w:pPr>
        <w:spacing w:after="160" w:before="60"/>
      </w:pPr>
      <w:r>
        <w:rPr>
          <w:rFonts w:ascii="Meiryo" w:cs="Meiryo" w:eastAsia="Meiryo" w:hAnsi="Meiryo"/>
          <w:color w:val="5C6B78"/>
          <w:sz w:val="17"/>
          <w:szCs w:val="17"/>
        </w:rPr>
        <w:t xml:space="preserve">研修タイトル：契約書研修｜締結権限・押印・電子契約で失敗しないための基礎</w:t>
      </w:r>
    </w:p>
    <w:p>
      <w:pPr>
        <w:spacing w:after="200"/>
      </w:pPr>
      <w:r>
        <w:rPr>
          <w:rFonts w:ascii="Meiryo" w:cs="Meiryo" w:eastAsia="Meiryo" w:hAnsi="Meiryo"/>
          <w:color w:val="5C6B78"/>
          <w:sz w:val="17"/>
          <w:szCs w:val="17"/>
        </w:rPr>
        <w:t xml:space="preserve">法令・制度基準日：2026年6月18日</w:t>
      </w:r>
      <w:r>
        <w:rPr>
          <w:rFonts w:ascii="Meiryo" w:cs="Meiryo" w:eastAsia="Meiryo" w:hAnsi="Meiryo"/>
          <w:color w:val="5C6B78"/>
          <w:sz w:val="17"/>
          <w:szCs w:val="17"/>
        </w:rPr>
        <w:t xml:space="preserve">　／　対象：全社員・契約担当者・管理職</w:t>
      </w:r>
    </w:p>
    <w:tbl>
      <w:tblPr>
        <w:tblW w:type="dxa" w:w="9026"/>
        <w:tblBorders>
          <w:top w:val="single" w:color="B58A3A" w:sz="4"/>
          <w:left w:val="single" w:color="B58A3A" w:sz="24"/>
          <w:bottom w:val="single" w:color="B58A3A" w:sz="4"/>
          <w:right w:val="single" w:color="B58A3A" w:sz="4"/>
          <w:insideH w:val="single" w:color="auto" w:sz="4"/>
          <w:insideV w:val="single" w:color="auto" w:sz="4"/>
        </w:tblBorders>
        <w:tblCellMar>
          <w:bottom w:type="dxa" w:w="140"/>
        </w:tblCellMar>
      </w:tblPr>
      <w:tblGrid>
        <w:gridCol w:w="9026"/>
      </w:tblGrid>
      <w:tr>
        <w:tc>
          <w:tcPr>
            <w:tcW w:type="dxa" w:w="9026"/>
            <w:shd w:fill="F6EFDF" w:val="clear"/>
            <w:tcMar>
              <w:top w:type="dxa" w:w="110"/>
              <w:left w:type="dxa" w:w="180"/>
              <w:bottom w:type="dxa" w:w="110"/>
              <w:right w:type="dxa" w:w="160"/>
            </w:tcMar>
          </w:tcPr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6E521F"/>
                <w:sz w:val="21"/>
                <w:szCs w:val="21"/>
              </w:rPr>
              <w:t xml:space="preserve">採点と解説の方針</w:t>
            </w:r>
          </w:p>
          <w:p>
            <w:pPr>
              <w:spacing w:after="50" w:line="272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配点は1問1点（合計12点）を基本とします。ケース判断は、選択した記号だけでなく「確認すべきこと・相談先・独断しないこと」を言語化できているかを併せて確認してください。</w:t>
            </w:r>
          </w:p>
          <w:p>
            <w:pPr>
              <w:spacing w:after="0" w:line="272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解説中の「法令上の義務／自社ルール／推奨実務」の区別は、受講者が誤解しやすい点です。自社規程名に置き換えて説明してください。</w:t>
            </w:r>
          </w:p>
        </w:tc>
      </w:tr>
    </w:tbl>
    <w:p>
      <w:pPr>
        <w:keepNext/>
        <w:pBdr>
          <w:bottom w:val="single" w:color="B58A3A" w:sz="8" w:space="4"/>
        </w:pBdr>
        <w:spacing w:after="60" w:before="200"/>
      </w:pPr>
      <w:r>
        <w:rPr>
          <w:rFonts w:ascii="Meiryo" w:cs="Meiryo" w:eastAsia="Meiryo" w:hAnsi="Meiryo"/>
          <w:b/>
          <w:bCs/>
          <w:color w:val="16314F"/>
          <w:sz w:val="24"/>
          <w:szCs w:val="24"/>
        </w:rPr>
        <w:t xml:space="preserve">問1　</w:t>
      </w:r>
      <w:r>
        <w:rPr>
          <w:rFonts w:ascii="Meiryo" w:cs="Meiryo" w:eastAsia="Meiryo" w:hAnsi="Meiryo"/>
          <w:b/>
          <w:bCs/>
          <w:color w:val="B58A3A"/>
          <w:sz w:val="16"/>
          <w:szCs w:val="16"/>
        </w:rPr>
        <w:t xml:space="preserve">［○×問題］　</w:t>
      </w:r>
      <w:r>
        <w:rPr>
          <w:rFonts w:ascii="Meiryo" w:cs="Meiryo" w:eastAsia="Meiryo" w:hAnsi="Meiryo"/>
          <w:b/>
          <w:bCs/>
          <w:color w:val="2F6B4F"/>
          <w:sz w:val="22"/>
          <w:szCs w:val="22"/>
        </w:rPr>
        <w:t xml:space="preserve">正解：×</w:t>
      </w:r>
    </w:p>
    <w:p>
      <w:pPr>
        <w:spacing w:after="90" w:before="0" w:line="276"/>
      </w:pPr>
      <w:r>
        <w:rPr>
          <w:rFonts w:ascii="Meiryo" w:cs="Meiryo" w:eastAsia="Meiryo" w:hAnsi="Meiryo"/>
          <w:color w:val="5C6B78"/>
          <w:sz w:val="19"/>
          <w:szCs w:val="19"/>
        </w:rPr>
        <w:t xml:space="preserve">契約書に押印さえすれば、押印者の権限や社内承認、契約内容を確認しなくても、契約は常に有効である。</w:t>
      </w:r>
    </w:p>
    <w:tbl>
      <w:tblPr>
        <w:tblW w:type="dxa" w:w="9026"/>
        <w:tblBorders>
          <w:top w:val="single" w:color="D9E0E8" w:sz="2"/>
          <w:left w:val="single" w:color="D9E0E8" w:sz="2"/>
          <w:bottom w:val="single" w:color="D9E0E8" w:sz="2"/>
          <w:right w:val="single" w:color="D9E0E8" w:sz="2"/>
          <w:insideH w:val="single" w:color="D9E0E8" w:sz="2"/>
          <w:insideV w:val="single" w:color="D9E0E8" w:sz="2"/>
        </w:tblBorders>
        <w:tblCellMar>
          <w:bottom w:type="dxa" w:w="120"/>
        </w:tblCellMar>
      </w:tblPr>
      <w:tblGrid>
        <w:gridCol w:w="2500"/>
        <w:gridCol w:w="6526"/>
      </w:tblGrid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区分（問題領域）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押印実務／契約の有効性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関連する契約実務リスク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押印を「万能の有効性の証明」と誤解すると、権限のない者による契約や、社内未承認のまま会社が拘束されるリスクがある。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現場で取るべき対応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押印があっても、押印者の権限・社内承認・契約内容・相手方権限を別途確認する。有効性の最終判断は現場で行わない。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義務／自社ルール／推奨実務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「押印＝常に有効」は誤り。押印の意味は会社法・民法上の一般的な考え方と自社の押印規程の双方で理解する。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対応スライド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スライド13・15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自社規程で確認すべき事項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押印規程・印章管理規程・押印申請フロー</w:t>
            </w:r>
          </w:p>
        </w:tc>
      </w:tr>
    </w:tbl>
    <w:p>
      <w:pPr>
        <w:keepNext/>
        <w:pBdr>
          <w:bottom w:val="single" w:color="B58A3A" w:sz="8" w:space="4"/>
        </w:pBdr>
        <w:spacing w:after="60" w:before="200"/>
      </w:pPr>
      <w:r>
        <w:rPr>
          <w:rFonts w:ascii="Meiryo" w:cs="Meiryo" w:eastAsia="Meiryo" w:hAnsi="Meiryo"/>
          <w:b/>
          <w:bCs/>
          <w:color w:val="16314F"/>
          <w:sz w:val="24"/>
          <w:szCs w:val="24"/>
        </w:rPr>
        <w:t xml:space="preserve">問2　</w:t>
      </w:r>
      <w:r>
        <w:rPr>
          <w:rFonts w:ascii="Meiryo" w:cs="Meiryo" w:eastAsia="Meiryo" w:hAnsi="Meiryo"/>
          <w:b/>
          <w:bCs/>
          <w:color w:val="B58A3A"/>
          <w:sz w:val="16"/>
          <w:szCs w:val="16"/>
        </w:rPr>
        <w:t xml:space="preserve">［○×問題］　</w:t>
      </w:r>
      <w:r>
        <w:rPr>
          <w:rFonts w:ascii="Meiryo" w:cs="Meiryo" w:eastAsia="Meiryo" w:hAnsi="Meiryo"/>
          <w:b/>
          <w:bCs/>
          <w:color w:val="2F6B4F"/>
          <w:sz w:val="22"/>
          <w:szCs w:val="22"/>
        </w:rPr>
        <w:t xml:space="preserve">正解：×</w:t>
      </w:r>
    </w:p>
    <w:p>
      <w:pPr>
        <w:spacing w:after="90" w:before="0" w:line="276"/>
      </w:pPr>
      <w:r>
        <w:rPr>
          <w:rFonts w:ascii="Meiryo" w:cs="Meiryo" w:eastAsia="Meiryo" w:hAnsi="Meiryo"/>
          <w:color w:val="5C6B78"/>
          <w:sz w:val="19"/>
          <w:szCs w:val="19"/>
        </w:rPr>
        <w:t xml:space="preserve">社内稟議が終わっていれば、誰が署名・押印しても、相手方に対して有効に契約を締結できる。</w:t>
      </w:r>
    </w:p>
    <w:tbl>
      <w:tblPr>
        <w:tblW w:type="dxa" w:w="9026"/>
        <w:tblBorders>
          <w:top w:val="single" w:color="D9E0E8" w:sz="2"/>
          <w:left w:val="single" w:color="D9E0E8" w:sz="2"/>
          <w:bottom w:val="single" w:color="D9E0E8" w:sz="2"/>
          <w:right w:val="single" w:color="D9E0E8" w:sz="2"/>
          <w:insideH w:val="single" w:color="D9E0E8" w:sz="2"/>
          <w:insideV w:val="single" w:color="D9E0E8" w:sz="2"/>
        </w:tblBorders>
        <w:tblCellMar>
          <w:bottom w:type="dxa" w:w="120"/>
        </w:tblCellMar>
      </w:tblPr>
      <w:tblGrid>
        <w:gridCol w:w="2500"/>
        <w:gridCol w:w="6526"/>
      </w:tblGrid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区分（問題領域）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社内承認と対外的効力／自社側締結権限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関連する契約実務リスク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社内承認（内部手続）と、相手方に対して有効に締結できる権限・方法は別物。混同すると締結権限のない者が締結してしまう。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現場で取るべき対応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稟議完了に加え、職務権限規程・委任状等に基づく締結権限と、適切な締結方法（押印・電子契約）を確認する。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義務／自社ルール／推奨実務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「稟議が通れば誰でも署名可」は誤り。社内承認と締結権限の区別は会社法上の考え方＋自社の職務権限規程による。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対応スライド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スライド8・9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自社規程で確認すべき事項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職務権限規程・稟議規程・代表者承認基準</w:t>
            </w:r>
          </w:p>
        </w:tc>
      </w:tr>
    </w:tbl>
    <w:p>
      <w:pPr>
        <w:keepNext/>
        <w:pBdr>
          <w:bottom w:val="single" w:color="B58A3A" w:sz="8" w:space="4"/>
        </w:pBdr>
        <w:spacing w:after="60" w:before="200"/>
      </w:pPr>
      <w:r>
        <w:rPr>
          <w:rFonts w:ascii="Meiryo" w:cs="Meiryo" w:eastAsia="Meiryo" w:hAnsi="Meiryo"/>
          <w:b/>
          <w:bCs/>
          <w:color w:val="16314F"/>
          <w:sz w:val="24"/>
          <w:szCs w:val="24"/>
        </w:rPr>
        <w:t xml:space="preserve">問3　</w:t>
      </w:r>
      <w:r>
        <w:rPr>
          <w:rFonts w:ascii="Meiryo" w:cs="Meiryo" w:eastAsia="Meiryo" w:hAnsi="Meiryo"/>
          <w:b/>
          <w:bCs/>
          <w:color w:val="B58A3A"/>
          <w:sz w:val="16"/>
          <w:szCs w:val="16"/>
        </w:rPr>
        <w:t xml:space="preserve">［○×問題］　</w:t>
      </w:r>
      <w:r>
        <w:rPr>
          <w:rFonts w:ascii="Meiryo" w:cs="Meiryo" w:eastAsia="Meiryo" w:hAnsi="Meiryo"/>
          <w:b/>
          <w:bCs/>
          <w:color w:val="2F6B4F"/>
          <w:sz w:val="22"/>
          <w:szCs w:val="22"/>
        </w:rPr>
        <w:t xml:space="preserve">正解：×</w:t>
      </w:r>
    </w:p>
    <w:p>
      <w:pPr>
        <w:spacing w:after="90" w:before="0" w:line="276"/>
      </w:pPr>
      <w:r>
        <w:rPr>
          <w:rFonts w:ascii="Meiryo" w:cs="Meiryo" w:eastAsia="Meiryo" w:hAnsi="Meiryo"/>
          <w:color w:val="5C6B78"/>
          <w:sz w:val="19"/>
          <w:szCs w:val="19"/>
        </w:rPr>
        <w:t xml:space="preserve">電子契約で締結した契約は、PDFを担当者の個人フォルダに保存しておけば、契約台帳への登録や更新期限の管理は不要である。</w:t>
      </w:r>
    </w:p>
    <w:tbl>
      <w:tblPr>
        <w:tblW w:type="dxa" w:w="9026"/>
        <w:tblBorders>
          <w:top w:val="single" w:color="D9E0E8" w:sz="2"/>
          <w:left w:val="single" w:color="D9E0E8" w:sz="2"/>
          <w:bottom w:val="single" w:color="D9E0E8" w:sz="2"/>
          <w:right w:val="single" w:color="D9E0E8" w:sz="2"/>
          <w:insideH w:val="single" w:color="D9E0E8" w:sz="2"/>
          <w:insideV w:val="single" w:color="D9E0E8" w:sz="2"/>
        </w:tblBorders>
        <w:tblCellMar>
          <w:bottom w:type="dxa" w:w="120"/>
        </w:tblCellMar>
      </w:tblPr>
      <w:tblGrid>
        <w:gridCol w:w="2500"/>
        <w:gridCol w:w="6526"/>
      </w:tblGrid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区分（問題領域）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契約台帳・保管・期限管理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関連する契約実務リスク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個人フォルダ保存のみでは、台帳未登録・期限失念・引継ぎ漏れにより、不利な自動更新や義務履行漏れが起きる。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現場で取るべき対応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締結後は契約台帳へ登録し、終了日・解約通知期限・自動更新・支払条件等を管理。データは保存先・アクセス権限を定めて保管する。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義務／自社ルール／推奨実務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「PDF保存だけでよい」は誤り。台帳登録・保管は自社の契約台帳運用ルール・文書保存ルールに基づく推奨実務／社内ルール。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対応スライド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スライド23・24・25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自社規程で確認すべき事項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契約台帳運用ルール・契約書保管規程・文書保存ルール</w:t>
            </w:r>
          </w:p>
        </w:tc>
      </w:tr>
    </w:tbl>
    <w:p>
      <w:pPr>
        <w:pageBreakBefore/>
        <w:spacing w:after="0"/>
      </w:pPr>
      <w:r>
        <w:rPr>
          <w:sz w:val="2"/>
          <w:szCs w:val="2"/>
        </w:rPr>
        <w:t xml:space="preserve"/>
      </w:r>
    </w:p>
    <w:p>
      <w:pPr>
        <w:keepNext/>
        <w:pBdr>
          <w:bottom w:val="single" w:color="B58A3A" w:sz="8" w:space="4"/>
        </w:pBdr>
        <w:spacing w:after="60" w:before="200"/>
      </w:pPr>
      <w:r>
        <w:rPr>
          <w:rFonts w:ascii="Meiryo" w:cs="Meiryo" w:eastAsia="Meiryo" w:hAnsi="Meiryo"/>
          <w:b/>
          <w:bCs/>
          <w:color w:val="16314F"/>
          <w:sz w:val="24"/>
          <w:szCs w:val="24"/>
        </w:rPr>
        <w:t xml:space="preserve">問4　</w:t>
      </w:r>
      <w:r>
        <w:rPr>
          <w:rFonts w:ascii="Meiryo" w:cs="Meiryo" w:eastAsia="Meiryo" w:hAnsi="Meiryo"/>
          <w:b/>
          <w:bCs/>
          <w:color w:val="B58A3A"/>
          <w:sz w:val="16"/>
          <w:szCs w:val="16"/>
        </w:rPr>
        <w:t xml:space="preserve">［四肢択一］　</w:t>
      </w:r>
      <w:r>
        <w:rPr>
          <w:rFonts w:ascii="Meiryo" w:cs="Meiryo" w:eastAsia="Meiryo" w:hAnsi="Meiryo"/>
          <w:b/>
          <w:bCs/>
          <w:color w:val="2F6B4F"/>
          <w:sz w:val="22"/>
          <w:szCs w:val="22"/>
        </w:rPr>
        <w:t xml:space="preserve">正解：イ</w:t>
      </w:r>
    </w:p>
    <w:p>
      <w:pPr>
        <w:spacing w:after="90" w:before="0" w:line="276"/>
      </w:pPr>
      <w:r>
        <w:rPr>
          <w:rFonts w:ascii="Meiryo" w:cs="Meiryo" w:eastAsia="Meiryo" w:hAnsi="Meiryo"/>
          <w:color w:val="5C6B78"/>
          <w:sz w:val="19"/>
          <w:szCs w:val="19"/>
        </w:rPr>
        <w:t xml:space="preserve">相手方の契約書署名者が代表者でない場合に、まず確認すべきこととして最も適切なものはどれか。</w:t>
      </w:r>
    </w:p>
    <w:tbl>
      <w:tblPr>
        <w:tblW w:type="dxa" w:w="9026"/>
        <w:tblBorders>
          <w:top w:val="single" w:color="D9E0E8" w:sz="2"/>
          <w:left w:val="single" w:color="D9E0E8" w:sz="2"/>
          <w:bottom w:val="single" w:color="D9E0E8" w:sz="2"/>
          <w:right w:val="single" w:color="D9E0E8" w:sz="2"/>
          <w:insideH w:val="single" w:color="D9E0E8" w:sz="2"/>
          <w:insideV w:val="single" w:color="D9E0E8" w:sz="2"/>
        </w:tblBorders>
        <w:tblCellMar>
          <w:bottom w:type="dxa" w:w="120"/>
        </w:tblCellMar>
      </w:tblPr>
      <w:tblGrid>
        <w:gridCol w:w="2500"/>
        <w:gridCol w:w="6526"/>
      </w:tblGrid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区分（問題領域）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相手方側締結権限／代理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関連する契約実務リスク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権限のない担当者と締結すると、後で契約の効力を争われる（無権代理・表見代理が問題になり得る）。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他の選択肢が適切でない理由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3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ア：角印（社印）だけでは権限確認として不十分なことがある。</w:t>
            </w:r>
          </w:p>
          <w:p>
            <w:pPr>
              <w:spacing w:after="3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ウ：会社名のメールでの承諾だけでは、署名者の締結権限の確認にならない。</w:t>
            </w:r>
          </w:p>
          <w:p>
            <w:pPr>
              <w:spacing w:after="3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エ：印鑑証明は本人性の一資料にすぎず、契約内容の確認を省略してよい理由にはならない。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現場で取るべき対応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委任状・権限確認資料を求め、代表者か代理人かを確認。疑義があれば確定的合意の前に法務へ相談する。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義務／自社ルール／推奨実務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代理・無権代理・表見代理は民法上の一般的な考え方。権限確認の具体的手順は自社の契約審査規程による推奨実務。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対応スライド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スライド10・11・12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自社規程で確認すべき事項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契約審査規程・委任状受領ルール・反社/取引先確認ルール</w:t>
            </w:r>
          </w:p>
        </w:tc>
      </w:tr>
    </w:tbl>
    <w:p>
      <w:pPr>
        <w:keepNext/>
        <w:pBdr>
          <w:bottom w:val="single" w:color="B58A3A" w:sz="8" w:space="4"/>
        </w:pBdr>
        <w:spacing w:after="60" w:before="200"/>
      </w:pPr>
      <w:r>
        <w:rPr>
          <w:rFonts w:ascii="Meiryo" w:cs="Meiryo" w:eastAsia="Meiryo" w:hAnsi="Meiryo"/>
          <w:b/>
          <w:bCs/>
          <w:color w:val="16314F"/>
          <w:sz w:val="24"/>
          <w:szCs w:val="24"/>
        </w:rPr>
        <w:t xml:space="preserve">問5　</w:t>
      </w:r>
      <w:r>
        <w:rPr>
          <w:rFonts w:ascii="Meiryo" w:cs="Meiryo" w:eastAsia="Meiryo" w:hAnsi="Meiryo"/>
          <w:b/>
          <w:bCs/>
          <w:color w:val="B58A3A"/>
          <w:sz w:val="16"/>
          <w:szCs w:val="16"/>
        </w:rPr>
        <w:t xml:space="preserve">［四肢択一］　</w:t>
      </w:r>
      <w:r>
        <w:rPr>
          <w:rFonts w:ascii="Meiryo" w:cs="Meiryo" w:eastAsia="Meiryo" w:hAnsi="Meiryo"/>
          <w:b/>
          <w:bCs/>
          <w:color w:val="2F6B4F"/>
          <w:sz w:val="22"/>
          <w:szCs w:val="22"/>
        </w:rPr>
        <w:t xml:space="preserve">正解：ウ</w:t>
      </w:r>
    </w:p>
    <w:p>
      <w:pPr>
        <w:spacing w:after="90" w:before="0" w:line="276"/>
      </w:pPr>
      <w:r>
        <w:rPr>
          <w:rFonts w:ascii="Meiryo" w:cs="Meiryo" w:eastAsia="Meiryo" w:hAnsi="Meiryo"/>
          <w:color w:val="5C6B78"/>
          <w:sz w:val="19"/>
          <w:szCs w:val="19"/>
        </w:rPr>
        <w:t xml:space="preserve">紙の契約書と電子契約・印紙税に関する説明として、最も適切なものはどれか。</w:t>
      </w:r>
    </w:p>
    <w:tbl>
      <w:tblPr>
        <w:tblW w:type="dxa" w:w="9026"/>
        <w:tblBorders>
          <w:top w:val="single" w:color="D9E0E8" w:sz="2"/>
          <w:left w:val="single" w:color="D9E0E8" w:sz="2"/>
          <w:bottom w:val="single" w:color="D9E0E8" w:sz="2"/>
          <w:right w:val="single" w:color="D9E0E8" w:sz="2"/>
          <w:insideH w:val="single" w:color="D9E0E8" w:sz="2"/>
          <w:insideV w:val="single" w:color="D9E0E8" w:sz="2"/>
        </w:tblBorders>
        <w:tblCellMar>
          <w:bottom w:type="dxa" w:w="120"/>
        </w:tblCellMar>
      </w:tblPr>
      <w:tblGrid>
        <w:gridCol w:w="2500"/>
        <w:gridCol w:w="6526"/>
      </w:tblGrid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区分（問題領域）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印紙税／紙契約と電子契約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関連する契約実務リスク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「電子＝一切不要」「紙＝常に必要」と単純化すると、紙の変更契約書等での印紙税の検討漏れや、過大な負担が生じる。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他の選択肢が適切でない理由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3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ア：電子契約に関連して作成する紙の変更契約書・注文請書・控えは別途検討が必要なことがある。</w:t>
            </w:r>
          </w:p>
          <w:p>
            <w:pPr>
              <w:spacing w:after="3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イ：紙でも非課税文書はあり、「すべて必ず必要」は誤り。</w:t>
            </w:r>
          </w:p>
          <w:p>
            <w:pPr>
              <w:spacing w:after="3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エ：締結方法（電子）と相手方の権限確認は別問題で、電子契約でも権限確認は必要。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現場で取るべき対応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課税文書該当性・記載金額・控えの扱いを現場で断定せず、自社の印紙税判定フローに従い経理・税務へ相談する。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義務／自社ルール／推奨実務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電磁的記録が「文書」に当たらない点は国税庁資料上の取扱い。最終的な課税判断は税務上の判断であり現場で行わない。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対応スライド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スライド19・20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自社規程で確認すべき事項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印紙税判定フロー・経理/税務への相談基準</w:t>
            </w:r>
          </w:p>
        </w:tc>
      </w:tr>
    </w:tbl>
    <w:p>
      <w:pPr>
        <w:keepNext/>
        <w:pBdr>
          <w:bottom w:val="single" w:color="B58A3A" w:sz="8" w:space="4"/>
        </w:pBdr>
        <w:spacing w:after="60" w:before="200"/>
      </w:pPr>
      <w:r>
        <w:rPr>
          <w:rFonts w:ascii="Meiryo" w:cs="Meiryo" w:eastAsia="Meiryo" w:hAnsi="Meiryo"/>
          <w:b/>
          <w:bCs/>
          <w:color w:val="16314F"/>
          <w:sz w:val="24"/>
          <w:szCs w:val="24"/>
        </w:rPr>
        <w:t xml:space="preserve">問6　</w:t>
      </w:r>
      <w:r>
        <w:rPr>
          <w:rFonts w:ascii="Meiryo" w:cs="Meiryo" w:eastAsia="Meiryo" w:hAnsi="Meiryo"/>
          <w:b/>
          <w:bCs/>
          <w:color w:val="B58A3A"/>
          <w:sz w:val="16"/>
          <w:szCs w:val="16"/>
        </w:rPr>
        <w:t xml:space="preserve">［四肢択一］　</w:t>
      </w:r>
      <w:r>
        <w:rPr>
          <w:rFonts w:ascii="Meiryo" w:cs="Meiryo" w:eastAsia="Meiryo" w:hAnsi="Meiryo"/>
          <w:b/>
          <w:bCs/>
          <w:color w:val="2F6B4F"/>
          <w:sz w:val="22"/>
          <w:szCs w:val="22"/>
        </w:rPr>
        <w:t xml:space="preserve">正解：イ</w:t>
      </w:r>
    </w:p>
    <w:p>
      <w:pPr>
        <w:spacing w:after="90" w:before="0" w:line="276"/>
      </w:pPr>
      <w:r>
        <w:rPr>
          <w:rFonts w:ascii="Meiryo" w:cs="Meiryo" w:eastAsia="Meiryo" w:hAnsi="Meiryo"/>
          <w:color w:val="5C6B78"/>
          <w:sz w:val="19"/>
          <w:szCs w:val="19"/>
        </w:rPr>
        <w:t xml:space="preserve">社内で取締役会決議が問題になり得る契約として、最も当てはまりやすいものはどれか。</w:t>
      </w:r>
    </w:p>
    <w:tbl>
      <w:tblPr>
        <w:tblW w:type="dxa" w:w="9026"/>
        <w:tblBorders>
          <w:top w:val="single" w:color="D9E0E8" w:sz="2"/>
          <w:left w:val="single" w:color="D9E0E8" w:sz="2"/>
          <w:bottom w:val="single" w:color="D9E0E8" w:sz="2"/>
          <w:right w:val="single" w:color="D9E0E8" w:sz="2"/>
          <w:insideH w:val="single" w:color="D9E0E8" w:sz="2"/>
          <w:insideV w:val="single" w:color="D9E0E8" w:sz="2"/>
        </w:tblBorders>
        <w:tblCellMar>
          <w:bottom w:type="dxa" w:w="120"/>
        </w:tblCellMar>
      </w:tblPr>
      <w:tblGrid>
        <w:gridCol w:w="2500"/>
        <w:gridCol w:w="6526"/>
      </w:tblGrid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区分（問題領域）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社内承認／取締役会決議／重要契約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関連する契約実務リスク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重要事項を取締役会決議なしに進めると、社内手続違反や、案件の正当性・責任の問題につながり得る。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他の選択肢が適切でない理由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3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ア・ウ・エ：いずれも通常は重要な財産の処分・多額の借財等には当たらず、取締役会決議が当然に問題になるものではない。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現場で取るべき対応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金額・内容が職務権限規程・取締役会付議基準に触れないかを確認し、該当し得る場合は締結前に法務・経営層へ。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義務／自社ルール／推奨実務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会社法362条4項は重要な財産の処分・譲受け、多額の借財等を取締役会の決議事項とする（一般的な考え方）。具体的基準は自社の付議基準。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対応スライド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スライド9・22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自社規程で確認すべき事項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取締役会付議基準・職務権限規程・代表者承認基準</w:t>
            </w:r>
          </w:p>
        </w:tc>
      </w:tr>
    </w:tbl>
    <w:p>
      <w:pPr>
        <w:keepNext/>
        <w:pBdr>
          <w:bottom w:val="single" w:color="B58A3A" w:sz="8" w:space="4"/>
        </w:pBdr>
        <w:spacing w:after="60" w:before="200"/>
      </w:pPr>
      <w:r>
        <w:rPr>
          <w:rFonts w:ascii="Meiryo" w:cs="Meiryo" w:eastAsia="Meiryo" w:hAnsi="Meiryo"/>
          <w:b/>
          <w:bCs/>
          <w:color w:val="16314F"/>
          <w:sz w:val="24"/>
          <w:szCs w:val="24"/>
        </w:rPr>
        <w:t xml:space="preserve">問7　</w:t>
      </w:r>
      <w:r>
        <w:rPr>
          <w:rFonts w:ascii="Meiryo" w:cs="Meiryo" w:eastAsia="Meiryo" w:hAnsi="Meiryo"/>
          <w:b/>
          <w:bCs/>
          <w:color w:val="B58A3A"/>
          <w:sz w:val="16"/>
          <w:szCs w:val="16"/>
        </w:rPr>
        <w:t xml:space="preserve">［四肢択一］　</w:t>
      </w:r>
      <w:r>
        <w:rPr>
          <w:rFonts w:ascii="Meiryo" w:cs="Meiryo" w:eastAsia="Meiryo" w:hAnsi="Meiryo"/>
          <w:b/>
          <w:bCs/>
          <w:color w:val="2F6B4F"/>
          <w:sz w:val="22"/>
          <w:szCs w:val="22"/>
        </w:rPr>
        <w:t xml:space="preserve">正解：エ</w:t>
      </w:r>
    </w:p>
    <w:p>
      <w:pPr>
        <w:spacing w:after="90" w:before="0" w:line="276"/>
      </w:pPr>
      <w:r>
        <w:rPr>
          <w:rFonts w:ascii="Meiryo" w:cs="Meiryo" w:eastAsia="Meiryo" w:hAnsi="Meiryo"/>
          <w:color w:val="5C6B78"/>
          <w:sz w:val="19"/>
          <w:szCs w:val="19"/>
        </w:rPr>
        <w:t xml:space="preserve">電子契約で締結する前に確認すべき事項として、最も不適切なものはどれか。</w:t>
      </w:r>
    </w:p>
    <w:tbl>
      <w:tblPr>
        <w:tblW w:type="dxa" w:w="9026"/>
        <w:tblBorders>
          <w:top w:val="single" w:color="D9E0E8" w:sz="2"/>
          <w:left w:val="single" w:color="D9E0E8" w:sz="2"/>
          <w:bottom w:val="single" w:color="D9E0E8" w:sz="2"/>
          <w:right w:val="single" w:color="D9E0E8" w:sz="2"/>
          <w:insideH w:val="single" w:color="D9E0E8" w:sz="2"/>
          <w:insideV w:val="single" w:color="D9E0E8" w:sz="2"/>
        </w:tblBorders>
        <w:tblCellMar>
          <w:bottom w:type="dxa" w:w="120"/>
        </w:tblCellMar>
      </w:tblPr>
      <w:tblGrid>
        <w:gridCol w:w="2500"/>
        <w:gridCol w:w="6526"/>
      </w:tblGrid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区分（問題領域）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電子契約／電子署名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関連する契約実務リスク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確認すべき事項（本人・権限・認証・ログ・保管）を省く一方、無関係な個人情報を求めると、確認漏れと不要なプライバシー侵害の双方が起きる。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他の選択肢が適切でない理由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3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ア・イ・ウ：いずれも電子契約で確認すべき正当な事項。</w:t>
            </w:r>
          </w:p>
          <w:p>
            <w:pPr>
              <w:spacing w:after="3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エ：契約締結の権限確認に関係せず、確認事項として不適切。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現場で取るべき対応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本人・権限・メールアドレス・認証・ワークフロー・ログ・締結完了証明・保存先を確認。電子契約の可否は自社規程に従う。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義務／自社ルール／推奨実務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電子署名法上の推定効は要件次第。方式の適否や効力の最終判断は法的判断を伴い、現場で断定しない。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対応スライド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スライド16・17・18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自社規程で確認すべき事項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電子契約利用規程・電子署名/ID管理ルール</w:t>
            </w:r>
          </w:p>
        </w:tc>
      </w:tr>
    </w:tbl>
    <w:p>
      <w:pPr>
        <w:pageBreakBefore/>
        <w:spacing w:after="0"/>
      </w:pPr>
      <w:r>
        <w:rPr>
          <w:sz w:val="2"/>
          <w:szCs w:val="2"/>
        </w:rPr>
        <w:t xml:space="preserve"/>
      </w:r>
    </w:p>
    <w:p>
      <w:pPr>
        <w:keepNext/>
        <w:pBdr>
          <w:bottom w:val="single" w:color="B58A3A" w:sz="8" w:space="4"/>
        </w:pBdr>
        <w:spacing w:after="60" w:before="200"/>
      </w:pPr>
      <w:r>
        <w:rPr>
          <w:rFonts w:ascii="Meiryo" w:cs="Meiryo" w:eastAsia="Meiryo" w:hAnsi="Meiryo"/>
          <w:b/>
          <w:bCs/>
          <w:color w:val="16314F"/>
          <w:sz w:val="24"/>
          <w:szCs w:val="24"/>
        </w:rPr>
        <w:t xml:space="preserve">問8　</w:t>
      </w:r>
      <w:r>
        <w:rPr>
          <w:rFonts w:ascii="Meiryo" w:cs="Meiryo" w:eastAsia="Meiryo" w:hAnsi="Meiryo"/>
          <w:b/>
          <w:bCs/>
          <w:color w:val="B58A3A"/>
          <w:sz w:val="16"/>
          <w:szCs w:val="16"/>
        </w:rPr>
        <w:t xml:space="preserve">［ケース判断］　</w:t>
      </w:r>
      <w:r>
        <w:rPr>
          <w:rFonts w:ascii="Meiryo" w:cs="Meiryo" w:eastAsia="Meiryo" w:hAnsi="Meiryo"/>
          <w:b/>
          <w:bCs/>
          <w:color w:val="2F6B4F"/>
          <w:sz w:val="22"/>
          <w:szCs w:val="22"/>
        </w:rPr>
        <w:t xml:space="preserve">正解：ウ</w:t>
      </w:r>
    </w:p>
    <w:p>
      <w:pPr>
        <w:spacing w:after="90" w:before="0" w:line="276"/>
      </w:pPr>
      <w:r>
        <w:rPr>
          <w:rFonts w:ascii="Meiryo" w:cs="Meiryo" w:eastAsia="Meiryo" w:hAnsi="Meiryo"/>
          <w:color w:val="5C6B78"/>
          <w:sz w:val="19"/>
          <w:szCs w:val="19"/>
        </w:rPr>
        <w:t xml:space="preserve">営業担当者が、法務審査・社内稟議の前に、取引先へ「この条件で契約成立でお願いします」とメール返信してしまった。契約書はまだ押印・電子署名されていない。最も適切な初動はどれか。</w:t>
      </w:r>
    </w:p>
    <w:tbl>
      <w:tblPr>
        <w:tblW w:type="dxa" w:w="9026"/>
        <w:tblBorders>
          <w:top w:val="single" w:color="D9E0E8" w:sz="2"/>
          <w:left w:val="single" w:color="D9E0E8" w:sz="2"/>
          <w:bottom w:val="single" w:color="D9E0E8" w:sz="2"/>
          <w:right w:val="single" w:color="D9E0E8" w:sz="2"/>
          <w:insideH w:val="single" w:color="D9E0E8" w:sz="2"/>
          <w:insideV w:val="single" w:color="D9E0E8" w:sz="2"/>
        </w:tblBorders>
        <w:tblCellMar>
          <w:bottom w:type="dxa" w:w="120"/>
        </w:tblCellMar>
      </w:tblPr>
      <w:tblGrid>
        <w:gridCol w:w="2500"/>
        <w:gridCol w:w="6526"/>
      </w:tblGrid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区分（問題領域）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承認前のメール／契約成立リスク／初動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関連する契約実務リスク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担当者メールでも合意成立と評価されるリスクがある。証拠の削除や独断の訂正連絡は、紛争時に不利・信用毀損につながる。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他の選択肢が適切でない理由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3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ア：状況により合意成立と扱われ得るため放置は不適切。</w:t>
            </w:r>
          </w:p>
          <w:p>
            <w:pPr>
              <w:spacing w:after="3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イ：証拠隠滅にあたり、絶対にしてはいけない。</w:t>
            </w:r>
          </w:p>
          <w:p>
            <w:pPr>
              <w:spacing w:after="3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エ：成立の有無は法的評価を伴い、独断の通知はかえってリスクを高める。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現場で取るべき対応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隠さず・消さず・改ざんせず保全し、上長・法務へ報告。相手方対応は法務と相談のうえ行う。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義務／自社ルール／推奨実務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契約成立の有無は民法上の評価。最終判断は現場で行わず、報告・相談は自社の初動ルール／推奨実務。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対応スライド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スライド2・26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自社規程で確認すべき事項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契約審査規程・初動対応ルール・法務相談基準</w:t>
            </w:r>
          </w:p>
        </w:tc>
      </w:tr>
    </w:tbl>
    <w:p>
      <w:pPr>
        <w:keepNext/>
        <w:pBdr>
          <w:bottom w:val="single" w:color="B58A3A" w:sz="8" w:space="4"/>
        </w:pBdr>
        <w:spacing w:after="60" w:before="200"/>
      </w:pPr>
      <w:r>
        <w:rPr>
          <w:rFonts w:ascii="Meiryo" w:cs="Meiryo" w:eastAsia="Meiryo" w:hAnsi="Meiryo"/>
          <w:b/>
          <w:bCs/>
          <w:color w:val="16314F"/>
          <w:sz w:val="24"/>
          <w:szCs w:val="24"/>
        </w:rPr>
        <w:t xml:space="preserve">問9　</w:t>
      </w:r>
      <w:r>
        <w:rPr>
          <w:rFonts w:ascii="Meiryo" w:cs="Meiryo" w:eastAsia="Meiryo" w:hAnsi="Meiryo"/>
          <w:b/>
          <w:bCs/>
          <w:color w:val="B58A3A"/>
          <w:sz w:val="16"/>
          <w:szCs w:val="16"/>
        </w:rPr>
        <w:t xml:space="preserve">［ケース判断］　</w:t>
      </w:r>
      <w:r>
        <w:rPr>
          <w:rFonts w:ascii="Meiryo" w:cs="Meiryo" w:eastAsia="Meiryo" w:hAnsi="Meiryo"/>
          <w:b/>
          <w:bCs/>
          <w:color w:val="2F6B4F"/>
          <w:sz w:val="22"/>
          <w:szCs w:val="22"/>
        </w:rPr>
        <w:t xml:space="preserve">正解：イ</w:t>
      </w:r>
    </w:p>
    <w:p>
      <w:pPr>
        <w:spacing w:after="90" w:before="0" w:line="276"/>
      </w:pPr>
      <w:r>
        <w:rPr>
          <w:rFonts w:ascii="Meiryo" w:cs="Meiryo" w:eastAsia="Meiryo" w:hAnsi="Meiryo"/>
          <w:color w:val="5C6B78"/>
          <w:sz w:val="19"/>
          <w:szCs w:val="19"/>
        </w:rPr>
        <w:t xml:space="preserve">事業部長が、数億円規模・5年契約の業務提携契約を自分の名義で締結しようとしている。職務権限規程では、一定金額以上は役員承認または取締役会付議が必要とされている。最も適切な対応はどれか。</w:t>
      </w:r>
    </w:p>
    <w:tbl>
      <w:tblPr>
        <w:tblW w:type="dxa" w:w="9026"/>
        <w:tblBorders>
          <w:top w:val="single" w:color="D9E0E8" w:sz="2"/>
          <w:left w:val="single" w:color="D9E0E8" w:sz="2"/>
          <w:bottom w:val="single" w:color="D9E0E8" w:sz="2"/>
          <w:right w:val="single" w:color="D9E0E8" w:sz="2"/>
          <w:insideH w:val="single" w:color="D9E0E8" w:sz="2"/>
          <w:insideV w:val="single" w:color="D9E0E8" w:sz="2"/>
        </w:tblBorders>
        <w:tblCellMar>
          <w:bottom w:type="dxa" w:w="120"/>
        </w:tblCellMar>
      </w:tblPr>
      <w:tblGrid>
        <w:gridCol w:w="2500"/>
        <w:gridCol w:w="6526"/>
      </w:tblGrid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区分（問題領域）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自社側締結権限／取締役会決議／重要契約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関連する契約実務リスク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権限・決議を欠いたまま重要契約を締結すると、社内手続違反や案件の正当性・責任の問題につながり得る。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他の選択肢が適切でない理由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3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ア：肩書だけでは締結権限があるとは限らない。</w:t>
            </w:r>
          </w:p>
          <w:p>
            <w:pPr>
              <w:spacing w:after="3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ウ：基準の潜脱であり不正・コンプライアンス違反となり得る。</w:t>
            </w:r>
          </w:p>
          <w:p>
            <w:pPr>
              <w:spacing w:after="3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エ：承認前の確定的な署名は避けるべき。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現場で取るべき対応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締結を保留し、付議基準・代表者承認基準を確認。必要な承認・決議を経てから締結する。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義務／自社ルール／推奨実務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重要な財産の処分・多額の借財等は会社法上、取締役会の決議事項になり得る（一般的な考え方）。基準は自社の付議基準。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対応スライド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スライド8・9・22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自社規程で確認すべき事項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取締役会付議基準・職務権限規程・稟議規程</w:t>
            </w:r>
          </w:p>
        </w:tc>
      </w:tr>
    </w:tbl>
    <w:p>
      <w:pPr>
        <w:keepNext/>
        <w:pBdr>
          <w:bottom w:val="single" w:color="B58A3A" w:sz="8" w:space="4"/>
        </w:pBdr>
        <w:spacing w:after="60" w:before="200"/>
      </w:pPr>
      <w:r>
        <w:rPr>
          <w:rFonts w:ascii="Meiryo" w:cs="Meiryo" w:eastAsia="Meiryo" w:hAnsi="Meiryo"/>
          <w:b/>
          <w:bCs/>
          <w:color w:val="16314F"/>
          <w:sz w:val="24"/>
          <w:szCs w:val="24"/>
        </w:rPr>
        <w:t xml:space="preserve">問10　</w:t>
      </w:r>
      <w:r>
        <w:rPr>
          <w:rFonts w:ascii="Meiryo" w:cs="Meiryo" w:eastAsia="Meiryo" w:hAnsi="Meiryo"/>
          <w:b/>
          <w:bCs/>
          <w:color w:val="B58A3A"/>
          <w:sz w:val="16"/>
          <w:szCs w:val="16"/>
        </w:rPr>
        <w:t xml:space="preserve">［ケース判断］　</w:t>
      </w:r>
      <w:r>
        <w:rPr>
          <w:rFonts w:ascii="Meiryo" w:cs="Meiryo" w:eastAsia="Meiryo" w:hAnsi="Meiryo"/>
          <w:b/>
          <w:bCs/>
          <w:color w:val="2F6B4F"/>
          <w:sz w:val="22"/>
          <w:szCs w:val="22"/>
        </w:rPr>
        <w:t xml:space="preserve">正解：イ</w:t>
      </w:r>
    </w:p>
    <w:p>
      <w:pPr>
        <w:spacing w:after="90" w:before="0" w:line="276"/>
      </w:pPr>
      <w:r>
        <w:rPr>
          <w:rFonts w:ascii="Meiryo" w:cs="Meiryo" w:eastAsia="Meiryo" w:hAnsi="Meiryo"/>
          <w:color w:val="5C6B78"/>
          <w:sz w:val="19"/>
          <w:szCs w:val="19"/>
        </w:rPr>
        <w:t xml:space="preserve">相手方から、代表者名の記載がなく、会社の角印だけが押された契約書が返ってきた。担当者は「社印があるので大丈夫」と考えている。最も適切な対応はどれか。</w:t>
      </w:r>
    </w:p>
    <w:tbl>
      <w:tblPr>
        <w:tblW w:type="dxa" w:w="9026"/>
        <w:tblBorders>
          <w:top w:val="single" w:color="D9E0E8" w:sz="2"/>
          <w:left w:val="single" w:color="D9E0E8" w:sz="2"/>
          <w:bottom w:val="single" w:color="D9E0E8" w:sz="2"/>
          <w:right w:val="single" w:color="D9E0E8" w:sz="2"/>
          <w:insideH w:val="single" w:color="D9E0E8" w:sz="2"/>
          <w:insideV w:val="single" w:color="D9E0E8" w:sz="2"/>
        </w:tblBorders>
        <w:tblCellMar>
          <w:bottom w:type="dxa" w:w="120"/>
        </w:tblCellMar>
      </w:tblPr>
      <w:tblGrid>
        <w:gridCol w:w="2500"/>
        <w:gridCol w:w="6526"/>
      </w:tblGrid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区分（問題領域）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押印実務／相手方権限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関連する契約実務リスク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角印だけ・代表者名なしのまま進めると、押印者の権限が不明で、後に効力を争われるおそれがある。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他の選択肢が適切でない理由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3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ア：角印だけでは権限確認として不十分なことがある。</w:t>
            </w:r>
          </w:p>
          <w:p>
            <w:pPr>
              <w:spacing w:after="3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ウ：自社が押印しても、相手方の権限の問題は解消しない。</w:t>
            </w:r>
          </w:p>
          <w:p>
            <w:pPr>
              <w:spacing w:after="3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エ：印鑑証明は本人性の一資料にすぎず、内容確認の省略理由にならない。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現場で取るべき対応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代表者名・押印者の権限を確認し、必要なら委任状等を求める。疑義があれば法務へ相談する。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義務／自社ルール／推奨実務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押印・印鑑の意味は会社法・民法上の一般的な考え方。確認手順は自社の押印規程・契約審査規程による推奨実務。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対応スライド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スライド13・14・15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自社規程で確認すべき事項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押印規程・契約審査規程・委任状受領ルール</w:t>
            </w:r>
          </w:p>
        </w:tc>
      </w:tr>
    </w:tbl>
    <w:p>
      <w:pPr>
        <w:keepNext/>
        <w:pBdr>
          <w:bottom w:val="single" w:color="B58A3A" w:sz="8" w:space="4"/>
        </w:pBdr>
        <w:spacing w:after="60" w:before="200"/>
      </w:pPr>
      <w:r>
        <w:rPr>
          <w:rFonts w:ascii="Meiryo" w:cs="Meiryo" w:eastAsia="Meiryo" w:hAnsi="Meiryo"/>
          <w:b/>
          <w:bCs/>
          <w:color w:val="16314F"/>
          <w:sz w:val="24"/>
          <w:szCs w:val="24"/>
        </w:rPr>
        <w:t xml:space="preserve">問11　</w:t>
      </w:r>
      <w:r>
        <w:rPr>
          <w:rFonts w:ascii="Meiryo" w:cs="Meiryo" w:eastAsia="Meiryo" w:hAnsi="Meiryo"/>
          <w:b/>
          <w:bCs/>
          <w:color w:val="B58A3A"/>
          <w:sz w:val="16"/>
          <w:szCs w:val="16"/>
        </w:rPr>
        <w:t xml:space="preserve">［ケース判断］　</w:t>
      </w:r>
      <w:r>
        <w:rPr>
          <w:rFonts w:ascii="Meiryo" w:cs="Meiryo" w:eastAsia="Meiryo" w:hAnsi="Meiryo"/>
          <w:b/>
          <w:bCs/>
          <w:color w:val="2F6B4F"/>
          <w:sz w:val="22"/>
          <w:szCs w:val="22"/>
        </w:rPr>
        <w:t xml:space="preserve">正解：イ</w:t>
      </w:r>
    </w:p>
    <w:p>
      <w:pPr>
        <w:spacing w:after="90" w:before="0" w:line="276"/>
      </w:pPr>
      <w:r>
        <w:rPr>
          <w:rFonts w:ascii="Meiryo" w:cs="Meiryo" w:eastAsia="Meiryo" w:hAnsi="Meiryo"/>
          <w:color w:val="5C6B78"/>
          <w:sz w:val="19"/>
          <w:szCs w:val="19"/>
        </w:rPr>
        <w:t xml:space="preserve">電子契約サービスで締結依頼が届いた。相手方の社内承認者は部長だが、実際に電子署名したメールアドレスは別の担当者のものだった。監査ログも確認していない。最も適切な対応はどれか。</w:t>
      </w:r>
    </w:p>
    <w:tbl>
      <w:tblPr>
        <w:tblW w:type="dxa" w:w="9026"/>
        <w:tblBorders>
          <w:top w:val="single" w:color="D9E0E8" w:sz="2"/>
          <w:left w:val="single" w:color="D9E0E8" w:sz="2"/>
          <w:bottom w:val="single" w:color="D9E0E8" w:sz="2"/>
          <w:right w:val="single" w:color="D9E0E8" w:sz="2"/>
          <w:insideH w:val="single" w:color="D9E0E8" w:sz="2"/>
          <w:insideV w:val="single" w:color="D9E0E8" w:sz="2"/>
        </w:tblBorders>
        <w:tblCellMar>
          <w:bottom w:type="dxa" w:w="120"/>
        </w:tblCellMar>
      </w:tblPr>
      <w:tblGrid>
        <w:gridCol w:w="2500"/>
        <w:gridCol w:w="6526"/>
      </w:tblGrid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区分（問題領域）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電子契約／電子署名／相手方権限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関連する契約実務リスク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署名者・権限・本人性を確認しないと、権限のない者の署名や、なりすましのリスクを見落とす。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他の選択肢が適切でない理由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3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ア：電子契約でも本人・権限・ログの確認は必要。</w:t>
            </w:r>
          </w:p>
          <w:p>
            <w:pPr>
              <w:spacing w:after="3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ウ：承認者と署名者の不一致は確認すべき論点。</w:t>
            </w:r>
          </w:p>
          <w:p>
            <w:pPr>
              <w:spacing w:after="3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エ：電子署名の効力の判断は法的評価を伴い、現場で断定しない。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現場で取るべき対応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署名者・権限・メールアドレス・監査ログ・締結完了証明を確認し、疑義は法務・情報システムへ相談する。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義務／自社ルール／推奨実務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電子署名法上の推定効は要件次第。効力の最終判断は現場で行わない（法的判断）。確認手順は自社の電子契約利用規程。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対応スライド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スライド16・17・18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自社規程で確認すべき事項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電子契約利用規程・電子署名/ID管理ルール</w:t>
            </w:r>
          </w:p>
        </w:tc>
      </w:tr>
    </w:tbl>
    <w:p>
      <w:pPr>
        <w:keepNext/>
        <w:pBdr>
          <w:bottom w:val="single" w:color="B58A3A" w:sz="8" w:space="4"/>
        </w:pBdr>
        <w:spacing w:after="60" w:before="200"/>
      </w:pPr>
      <w:r>
        <w:rPr>
          <w:rFonts w:ascii="Meiryo" w:cs="Meiryo" w:eastAsia="Meiryo" w:hAnsi="Meiryo"/>
          <w:b/>
          <w:bCs/>
          <w:color w:val="16314F"/>
          <w:sz w:val="24"/>
          <w:szCs w:val="24"/>
        </w:rPr>
        <w:t xml:space="preserve">問12　</w:t>
      </w:r>
      <w:r>
        <w:rPr>
          <w:rFonts w:ascii="Meiryo" w:cs="Meiryo" w:eastAsia="Meiryo" w:hAnsi="Meiryo"/>
          <w:b/>
          <w:bCs/>
          <w:color w:val="B58A3A"/>
          <w:sz w:val="16"/>
          <w:szCs w:val="16"/>
        </w:rPr>
        <w:t xml:space="preserve">［ケース判断］　</w:t>
      </w:r>
      <w:r>
        <w:rPr>
          <w:rFonts w:ascii="Meiryo" w:cs="Meiryo" w:eastAsia="Meiryo" w:hAnsi="Meiryo"/>
          <w:b/>
          <w:bCs/>
          <w:color w:val="2F6B4F"/>
          <w:sz w:val="22"/>
          <w:szCs w:val="22"/>
        </w:rPr>
        <w:t xml:space="preserve">正解：イ</w:t>
      </w:r>
    </w:p>
    <w:p>
      <w:pPr>
        <w:spacing w:after="90" w:before="0" w:line="276"/>
      </w:pPr>
      <w:r>
        <w:rPr>
          <w:rFonts w:ascii="Meiryo" w:cs="Meiryo" w:eastAsia="Meiryo" w:hAnsi="Meiryo"/>
          <w:color w:val="5C6B78"/>
          <w:sz w:val="19"/>
          <w:szCs w:val="19"/>
        </w:rPr>
        <w:t xml:space="preserve">1年契約のSaaS利用契約に自動更新条項があり、解約には満了日の60日前までの通知が必要だったが、担当者が期限を見落とし、さらに1年間更新されてしまった。再発防止策として最も適切なものはどれか。</w:t>
      </w:r>
    </w:p>
    <w:tbl>
      <w:tblPr>
        <w:tblW w:type="dxa" w:w="9026"/>
        <w:tblBorders>
          <w:top w:val="single" w:color="D9E0E8" w:sz="2"/>
          <w:left w:val="single" w:color="D9E0E8" w:sz="2"/>
          <w:bottom w:val="single" w:color="D9E0E8" w:sz="2"/>
          <w:right w:val="single" w:color="D9E0E8" w:sz="2"/>
          <w:insideH w:val="single" w:color="D9E0E8" w:sz="2"/>
          <w:insideV w:val="single" w:color="D9E0E8" w:sz="2"/>
        </w:tblBorders>
        <w:tblCellMar>
          <w:bottom w:type="dxa" w:w="120"/>
        </w:tblCellMar>
      </w:tblPr>
      <w:tblGrid>
        <w:gridCol w:w="2500"/>
        <w:gridCol w:w="6526"/>
      </w:tblGrid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区分（問題領域）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契約台帳・更新期限・解約通知期限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関連する契約実務リスク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台帳・アラート・引継ぎがないと、不利な自動更新や解約漏れが繰り返し発生する。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他の選択肢が適切でない理由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3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ア：個人フォルダ保存のみは、本件の原因そのもので再発防止にならない。</w:t>
            </w:r>
          </w:p>
          <w:p>
            <w:pPr>
              <w:spacing w:after="3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ウ・エ：期限管理の放棄・属人化は再発リスクを高める。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現場で取るべき対応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契約台帳に終了日・自動更新・解約通知期限を登録し、アラートと引継ぎ体制を整える。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義務／自社ルール／推奨実務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台帳・期限管理は自社の契約台帳運用ルールに基づく社内ルール／推奨実務。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対応スライド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スライド23・24</w:t>
            </w:r>
          </w:p>
        </w:tc>
      </w:tr>
      <w:tr>
        <w:tc>
          <w:tcPr>
            <w:tcW w:type="dxa" w:w="2500"/>
            <w:shd w:fill="EAEFF5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自社規程で確認すべき事項</w:t>
            </w:r>
          </w:p>
        </w:tc>
        <w:tc>
          <w:tcPr>
            <w:tcW w:type="dxa" w:w="6526"/>
            <w:tcMar>
              <w:top w:type="dxa" w:w="70"/>
              <w:left w:type="dxa" w:w="12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契約台帳運用ルール・契約書保管規程</w:t>
            </w:r>
          </w:p>
        </w:tc>
      </w:tr>
    </w:tbl>
    <w:p>
      <w:pPr>
        <w:pStyle w:val="Heading1"/>
        <w:keepNext/>
        <w:pageBreakBefore/>
        <w:pBdr>
          <w:bottom w:val="single" w:color="B58A3A" w:sz="10" w:space="6"/>
        </w:pBdr>
        <w:spacing w:after="120" w:before="240"/>
      </w:pPr>
      <w:r>
        <w:rPr>
          <w:rFonts w:ascii="Meiryo" w:cs="Meiryo" w:eastAsia="Meiryo" w:hAnsi="Meiryo"/>
          <w:b/>
          <w:bCs/>
          <w:color w:val="16314F"/>
          <w:sz w:val="30"/>
          <w:szCs w:val="30"/>
        </w:rPr>
        <w:t xml:space="preserve">採点後のフォロー</w:t>
      </w:r>
    </w:p>
    <w:p>
      <w:pPr>
        <w:pStyle w:val="ListParagraph"/>
        <w:numPr>
          <w:ilvl w:val="0"/>
          <w:numId w:val="2"/>
        </w:numPr>
        <w:spacing w:after="60" w:line="274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誤答が多い領域（締結権限・押印・電子契約・印紙税・台帳/期限）を特定し、該当スライドで復習する。</w:t>
      </w:r>
    </w:p>
    <w:p>
      <w:pPr>
        <w:pStyle w:val="ListParagraph"/>
        <w:numPr>
          <w:ilvl w:val="0"/>
          <w:numId w:val="2"/>
        </w:numPr>
        <w:spacing w:after="60" w:line="274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「現場で独断してはいけないこと」を再確認し、相談窓口（自社記入）を周知する。</w:t>
      </w:r>
    </w:p>
    <w:p>
      <w:pPr>
        <w:pStyle w:val="ListParagraph"/>
        <w:numPr>
          <w:ilvl w:val="0"/>
          <w:numId w:val="2"/>
        </w:numPr>
        <w:spacing w:after="60" w:line="274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受講記録・点数を保管し、欠席者・低得点者には再受講やフォローを行う（自社ルールに従う）。</w:t>
      </w:r>
    </w:p>
    <w:p>
      <w:pPr>
        <w:spacing w:after="80"/>
      </w:pPr>
      <w:r>
        <w:rPr>
          <w:sz w:val="2"/>
          <w:szCs w:val="2"/>
        </w:rPr>
        <w:t xml:space="preserve"/>
      </w:r>
    </w:p>
    <w:p>
      <w:pPr>
        <w:spacing w:after="120" w:before="0" w:line="276"/>
        <w:jc w:val="center"/>
      </w:pPr>
      <w:r>
        <w:rPr>
          <w:rFonts w:ascii="Meiryo" w:cs="Meiryo" w:eastAsia="Meiryo" w:hAnsi="Meiryo"/>
          <w:color w:val="5C6B78"/>
          <w:sz w:val="16"/>
          <w:szCs w:val="16"/>
        </w:rPr>
        <w:t xml:space="preserve">法令・制度基準日：2026年6月18日　／　Legal GPT｜法務・総務のための社内研修資料20選　第19回　解答・解説集</w:t>
      </w:r>
    </w:p>
    <w:sectPr>
      <w:footerReference w:type="default" r:id="rId7"/>
      <w:pgSz w:w="11906" w:h="16838" w:orient="portrait"/>
      <w:pgMar w:top="1296" w:right="1440" w:bottom="1152" w:left="1440" w:header="708" w:footer="708" w:gutter="0"/>
      <w:pgNumTyp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9E0E8" w:sz="4" w:space="6"/>
      </w:pBdr>
      <w:tabs>
        <w:tab w:val="right" w:pos="9026"/>
      </w:tabs>
      <w:spacing w:before="40"/>
    </w:pPr>
    <w:r>
      <w:rPr>
        <w:rFonts w:ascii="Meiryo" w:cs="Meiryo" w:eastAsia="Meiryo" w:hAnsi="Meiryo"/>
        <w:b/>
        <w:bCs/>
        <w:color w:val="16314F"/>
        <w:sz w:val="16"/>
        <w:szCs w:val="16"/>
      </w:rPr>
      <w:t xml:space="preserve">Legal GPT</w:t>
    </w:r>
    <w:r>
      <w:rPr>
        <w:rFonts w:ascii="Meiryo" w:cs="Meiryo" w:eastAsia="Meiryo" w:hAnsi="Meiryo"/>
        <w:color w:val="5C6B78"/>
        <w:sz w:val="15"/>
        <w:szCs w:val="15"/>
      </w:rPr>
      <w:t xml:space="preserve">　｜　法務・総務のための社内研修資料20選　第19回</w:t>
    </w:r>
    <w:r>
      <w:rPr>
        <w:rFonts w:ascii="Meiryo" w:cs="Meiryo" w:eastAsia="Meiryo" w:hAnsi="Meiryo"/>
        <w:sz w:val="15"/>
        <w:szCs w:val="15"/>
      </w:rPr>
      <w:t xml:space="preserve">	</w:t>
    </w:r>
    <w:r>
      <w:rPr>
        <w:rFonts w:ascii="Meiryo" w:cs="Meiryo" w:eastAsia="Meiryo" w:hAnsi="Meiryo"/>
        <w:color w:val="5C6B78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rFonts w:ascii="Meiryo" w:cs="Meiryo" w:eastAsia="Meiryo" w:hAnsi="Meiryo"/>
        <w:color w:val="5C6B78"/>
        <w:sz w:val="15"/>
        <w:szCs w:val="15"/>
      </w:rPr>
      <w:t xml:space="preserve"> / </w:t>
    </w:r>
    <w:r>
      <w:rPr>
        <w:rFonts w:ascii="Meiryo" w:cs="Meiryo" w:eastAsia="Meiryo" w:hAnsi="Meiryo"/>
        <w:color w:val="5C6B78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40"/>
      </w:pPr>
      <w:rPr>
        <w:rFonts w:ascii="Meiryo" w:cs="Meiryo" w:eastAsia="Meiryo" w:hAnsi="Meiryo"/>
        <w:color w:val="B58A3A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720" w:hanging="240"/>
      </w:pPr>
      <w:rPr>
        <w:rFonts w:ascii="Meiryo" w:cs="Meiryo" w:eastAsia="Meiryo" w:hAnsi="Meiryo"/>
        <w:color w:val="5C6B78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Meiryo" w:cs="Meiryo" w:eastAsia="Meiryo" w:hAnsi="Meiryo"/>
      <w:b/>
      <w:bCs/>
      <w:color w:val="16314F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90" w:before="200"/>
      <w:outlineLvl w:val="1"/>
    </w:pPr>
    <w:rPr>
      <w:rFonts w:ascii="Meiryo" w:cs="Meiryo" w:eastAsia="Meiryo" w:hAnsi="Meiryo"/>
      <w:b/>
      <w:bCs/>
      <w:color w:val="16314F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70" w:before="150"/>
      <w:outlineLvl w:val="2"/>
    </w:pPr>
    <w:rPr>
      <w:rFonts w:ascii="Meiryo" w:cs="Meiryo" w:eastAsia="Meiryo" w:hAnsi="Meiryo"/>
      <w:b/>
      <w:bCs/>
      <w:color w:val="243B53"/>
      <w:sz w:val="21"/>
      <w:szCs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法務・総務のための社内研修資料20選 第19回</dc:title>
  <dc:creator>Legal GPT</dc:creator>
  <cp:lastModifiedBy>Un-named</cp:lastModifiedBy>
  <cp:revision>1</cp:revision>
  <dcterms:created xsi:type="dcterms:W3CDTF">2026-06-23T20:33:53.167Z</dcterms:created>
  <dcterms:modified xsi:type="dcterms:W3CDTF">2026-06-23T20:33:53.167Z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