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9A7325"/>
          <w:sz w:val="18"/>
          <w:szCs w:val="18"/>
        </w:rPr>
        <w:t xml:space="preserve">インサイダー取引防止研修（第20回・最終回）｜確認テスト解答・解説</w:t>
      </w:r>
    </w:p>
    <w:p>
      <w:pPr>
        <w:pStyle w:val="Title"/>
      </w:pPr>
      <w:r>
        <w:rPr>
          <w:rFonts w:ascii="Meiryo" w:cs="Meiryo" w:eastAsia="Meiryo" w:hAnsi="Meiryo"/>
        </w:rPr>
        <w:t xml:space="preserve">インサイダー取引防止 確認テスト 解答・解説</w:t>
      </w:r>
    </w:p>
    <w:p>
      <w:pPr>
        <w:pStyle w:val="Subtitle"/>
      </w:pPr>
      <w:r>
        <w:rPr>
          <w:rFonts w:ascii="Meiryo" w:cs="Meiryo" w:eastAsia="Meiryo" w:hAnsi="Meiryo"/>
        </w:rPr>
        <w:t xml:space="preserve">正解・論点・現場対応・対応スライドの一覧</w:t>
      </w:r>
    </w:p>
    <w:p>
      <w:pPr>
        <w:spacing w:after="40"/>
      </w:pPr>
      <w:r>
        <w:rPr>
          <w:rFonts w:ascii="Meiryo" w:cs="Meiryo" w:eastAsia="Meiryo" w:hAnsi="Meiryo"/>
          <w:color w:val="5B6B78"/>
          <w:sz w:val="19"/>
          <w:szCs w:val="19"/>
        </w:rPr>
        <w:t xml:space="preserve">講師・研修担当者向け／受講者へのフィードバックにも使用可</w:t>
      </w:r>
    </w:p>
    <w:p>
      <w:pPr>
        <w:pBdr>
          <w:bottom w:val="single" w:color="C9D2DA" w:sz="8" w:space="6"/>
        </w:pBdr>
        <w:spacing w:after="160"/>
      </w:pPr>
      <w:r>
        <w:rPr>
          <w:rFonts w:ascii="Meiryo" w:cs="Meiryo" w:eastAsia="Meiryo" w:hAnsi="Meiryo"/>
          <w:b/>
          <w:bCs/>
          <w:color w:val="16314F"/>
          <w:sz w:val="19"/>
          <w:szCs w:val="19"/>
        </w:rPr>
        <w:t xml:space="preserve">法令・制度基準日：2026年6月18日</w:t>
      </w:r>
    </w:p>
    <w:tbl>
      <w:tblPr>
        <w:tblW w:type="dxa" w:w="9746"/>
        <w:tblBorders>
          <w:top w:val="single" w:color="B42318" w:sz="4"/>
          <w:left w:val="single" w:color="B42318" w:sz="4"/>
          <w:bottom w:val="single" w:color="B42318" w:sz="4"/>
          <w:right w:val="single" w:color="B42318" w:sz="4"/>
          <w:insideH w:val="single" w:color="auto" w:sz="4"/>
          <w:insideV w:val="single" w:color="auto" w:sz="4"/>
        </w:tblBorders>
      </w:tblPr>
      <w:tblGrid>
        <w:gridCol w:w="9746"/>
      </w:tblGrid>
      <w:tr>
        <w:tc>
          <w:tcPr>
            <w:tcW w:type="dxa" w:w="9746"/>
            <w:shd w:fill="FBEDEC" w:color="auto" w:val="clear"/>
            <w:tcMar>
              <w:top w:type="dxa" w:w="110"/>
              <w:left w:type="dxa" w:w="160"/>
              <w:bottom w:type="dxa" w:w="110"/>
              <w:right w:type="dxa" w:w="160"/>
            </w:tcMar>
          </w:tcPr>
          <w:p>
            <w:pPr>
              <w:spacing w:after="60"/>
            </w:pPr>
            <w:r>
              <w:rPr>
                <w:rFonts w:ascii="Meiryo" w:cs="Meiryo" w:eastAsia="Meiryo" w:hAnsi="Meiryo"/>
                <w:b/>
                <w:bCs/>
                <w:color w:val="B42318"/>
                <w:sz w:val="21"/>
                <w:szCs w:val="21"/>
              </w:rPr>
              <w:t xml:space="preserve">解説の読み方と重要な前提</w:t>
            </w:r>
          </w:p>
          <w:p>
            <w:pPr>
              <w:pStyle w:val="ListParagraph"/>
              <w:numPr>
                <w:ilvl w:val="0"/>
                <w:numId w:val="2"/>
              </w:numPr>
              <w:spacing w:after="50" w:line="256"/>
            </w:pPr>
            <w:r>
              <w:rPr>
                <w:rFonts w:ascii="Meiryo" w:cs="Meiryo" w:eastAsia="Meiryo" w:hAnsi="Meiryo"/>
              </w:rPr>
              <w:t xml:space="preserve">「区分」は、その対応が ①法令上の義務に関わるもの ②自社ルール（規程運用）③推奨実務 のどれに近いかの目安です。</w:t>
            </w:r>
          </w:p>
          <w:p>
            <w:pPr>
              <w:pStyle w:val="ListParagraph"/>
              <w:numPr>
                <w:ilvl w:val="0"/>
                <w:numId w:val="2"/>
              </w:numPr>
              <w:spacing w:after="50" w:line="256"/>
            </w:pPr>
            <w:r>
              <w:rPr>
                <w:rFonts w:ascii="Meiryo" w:cs="Meiryo" w:eastAsia="Meiryo" w:hAnsi="Meiryo"/>
                <w:color w:val="B42318"/>
              </w:rPr>
              <w:t xml:space="preserve">インサイダー取引該当性・重要事実該当性・公表該当性・売買可否・情報伝達/取引推奨該当性は、事案により異なり、本解説で最終判断はできません。</w:t>
            </w:r>
          </w:p>
          <w:p>
            <w:pPr>
              <w:pStyle w:val="ListParagraph"/>
              <w:numPr>
                <w:ilvl w:val="0"/>
                <w:numId w:val="2"/>
              </w:numPr>
              <w:spacing w:after="0" w:line="256"/>
            </w:pPr>
            <w:r>
              <w:rPr>
                <w:rFonts w:ascii="Meiryo" w:cs="Meiryo" w:eastAsia="Meiryo" w:hAnsi="Meiryo"/>
                <w:color w:val="B42318"/>
              </w:rPr>
              <w:t xml:space="preserve">各ケースの会社名・人物は架空です。研修では自社の規程・窓口に置き換えて説明してください。</w:t>
            </w:r>
          </w:p>
        </w:tc>
      </w:tr>
    </w:tbl>
    <w:p>
      <w:pPr>
        <w:spacing w:after="100"/>
      </w:pPr>
      <w:r>
        <w:rPr>
          <w:rFonts w:ascii="Meiryo" w:cs="Meiryo" w:eastAsia="Meiryo" w:hAnsi="Meiryo"/>
        </w:rPr>
        <w:t xml:space="preserve"/>
      </w:r>
    </w:p>
    <w:p>
      <w:pPr>
        <w:pStyle w:val="Heading1"/>
      </w:pPr>
      <w:r>
        <w:rPr>
          <w:rFonts w:ascii="Meiryo" w:cs="Meiryo" w:eastAsia="Meiryo" w:hAnsi="Meiryo"/>
        </w:rPr>
        <w:t xml:space="preserve">問1　正解：×</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会社関係者・情報受領者の範囲</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法令上の規制に関わる理解</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スライド7</w:t>
            </w:r>
          </w:p>
        </w:tc>
      </w:tr>
    </w:tbl>
    <w:p>
      <w:pPr>
        <w:spacing w:after="90" w:line="264"/>
      </w:pPr>
      <w:r>
        <w:rPr>
          <w:rFonts w:ascii="Meiryo" w:cs="Meiryo" w:eastAsia="Meiryo" w:hAnsi="Meiryo"/>
        </w:rPr>
        <w:t xml:space="preserve">インサイダー取引規制は、役員だけの問題ではありません。役員のほか、従業員・派遣社員・業務委託先・顧問・会計士・弁護士・コンサルタント等、職務に関して未公表情報を知る立場の人が「会社関係者」になり得ます。さらに、会社関係者から情報を聞いた家族・友人・知人・投資仲間等も「情報受領者（第一次情報受領者）」として規制対象になり得ま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「自分は役員でない／正社員でない／上場会社の社員でない」ことを理由に、安全だと判断しない。</w:t>
      </w:r>
    </w:p>
    <w:p>
      <w:pPr>
        <w:pStyle w:val="ListParagraph"/>
        <w:numPr>
          <w:ilvl w:val="0"/>
          <w:numId w:val="2"/>
        </w:numPr>
        <w:spacing w:after="40" w:line="256"/>
      </w:pPr>
      <w:r>
        <w:rPr>
          <w:rFonts w:ascii="Meiryo" w:cs="Meiryo" w:eastAsia="Meiryo" w:hAnsi="Meiryo"/>
        </w:rPr>
        <w:t xml:space="preserve">未公表で重要そうな情報を知ったら、立場にかかわらず売買・情報共有をせず相談する。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自社の売買管理・情報管理の対象範囲（役員・従業員・派遣・委託先・グループ会社等）の定め。</w:t>
            </w:r>
          </w:p>
        </w:tc>
      </w:tr>
    </w:tbl>
    <w:p>
      <w:pPr>
        <w:pStyle w:val="Heading1"/>
      </w:pPr>
      <w:r>
        <w:rPr>
          <w:rFonts w:ascii="Meiryo" w:cs="Meiryo" w:eastAsia="Meiryo" w:hAnsi="Meiryo"/>
        </w:rPr>
        <w:t xml:space="preserve">問2　正解：×</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自社株以外の取引（取引先株・M&amp;A相手株等）</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法令上の規制に関わる理解</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スライド10・14</w:t>
            </w:r>
          </w:p>
        </w:tc>
      </w:tr>
    </w:tbl>
    <w:p>
      <w:pPr>
        <w:spacing w:after="90" w:line="264"/>
      </w:pPr>
      <w:r>
        <w:rPr>
          <w:rFonts w:ascii="Meiryo" w:cs="Meiryo" w:eastAsia="Meiryo" w:hAnsi="Meiryo"/>
        </w:rPr>
        <w:t xml:space="preserve">対象は自社株に限りません。取引先、業務提携先、M&amp;A・TOBの相手方や対象会社、顧客、仕入先など、未公表の重要事実を知った上場会社等の株式等の売買が問題になり得ます。職務を通じて他社の重要情報に接することもあるため、「自社株でなければ自由」という理解は誤りで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取引先・提携先・M&amp;A相手・TOB対象会社等の上場株式等にも注意する。</w:t>
      </w:r>
    </w:p>
    <w:p>
      <w:pPr>
        <w:pStyle w:val="ListParagraph"/>
        <w:numPr>
          <w:ilvl w:val="0"/>
          <w:numId w:val="2"/>
        </w:numPr>
        <w:spacing w:after="40" w:line="256"/>
      </w:pPr>
      <w:r>
        <w:rPr>
          <w:rFonts w:ascii="Meiryo" w:cs="Meiryo" w:eastAsia="Meiryo" w:hAnsi="Meiryo"/>
        </w:rPr>
        <w:t xml:space="preserve">他社の未公表情報を知ったときも、その会社の株式等の売買・情報共有を止めて相談する。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自社の売買管理規程が、自社株だけでなく関係会社・取引先等の銘柄も対象としているか。</w:t>
            </w:r>
          </w:p>
        </w:tc>
      </w:tr>
    </w:tbl>
    <w:p>
      <w:pPr>
        <w:pStyle w:val="Heading1"/>
      </w:pPr>
      <w:r>
        <w:rPr>
          <w:rFonts w:ascii="Meiryo" w:cs="Meiryo" w:eastAsia="Meiryo" w:hAnsi="Meiryo"/>
        </w:rPr>
        <w:t xml:space="preserve">問3　正解：×</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「利益・少額・1回だけなら安全」という誤解</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法令上の規制に関わる理解</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スライド6・25</w:t>
            </w:r>
          </w:p>
        </w:tc>
      </w:tr>
    </w:tbl>
    <w:p>
      <w:pPr>
        <w:spacing w:after="90" w:line="264"/>
      </w:pPr>
      <w:r>
        <w:rPr>
          <w:rFonts w:ascii="Meiryo" w:cs="Meiryo" w:eastAsia="Meiryo" w:hAnsi="Meiryo"/>
        </w:rPr>
        <w:t xml:space="preserve">利益が出たかどうか、金額の大小、回数の多寡だけで安全とはいえません。未公表の重要事実を知った上での売買は、結果として損をした場合や少額・1回の取引であっても問題になり得ます。「儲かっていないから大丈夫」という発想は危険で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「少額・1回・利益なし」を安全の根拠にしない。</w:t>
      </w:r>
    </w:p>
    <w:p>
      <w:pPr>
        <w:pStyle w:val="ListParagraph"/>
        <w:numPr>
          <w:ilvl w:val="0"/>
          <w:numId w:val="2"/>
        </w:numPr>
        <w:spacing w:after="40" w:line="256"/>
      </w:pPr>
      <w:r>
        <w:rPr>
          <w:rFonts w:ascii="Meiryo" w:cs="Meiryo" w:eastAsia="Meiryo" w:hAnsi="Meiryo"/>
        </w:rPr>
        <w:t xml:space="preserve">迷ったら売買せず、担当部門に相談する。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違反時の社内処分（懲戒等）や報告ルートの定め。</w:t>
            </w:r>
          </w:p>
        </w:tc>
      </w:tr>
    </w:tbl>
    <w:p>
      <w:r>
        <w:br w:type="page"/>
      </w:r>
    </w:p>
    <w:p>
      <w:pPr>
        <w:pStyle w:val="Heading1"/>
      </w:pPr>
      <w:r>
        <w:rPr>
          <w:rFonts w:ascii="Meiryo" w:cs="Meiryo" w:eastAsia="Meiryo" w:hAnsi="Meiryo"/>
        </w:rPr>
        <w:t xml:space="preserve">問4　正解：Ｃ</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未公表情報に接したときの初動</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推奨実務＋自社ルール（相談・記録）</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スライド21・22</w:t>
            </w:r>
          </w:p>
        </w:tc>
      </w:tr>
    </w:tbl>
    <w:p>
      <w:pPr>
        <w:spacing w:after="80" w:line="264"/>
      </w:pPr>
      <w:r>
        <w:rPr>
          <w:rFonts w:ascii="Meiryo" w:cs="Meiryo" w:eastAsia="Meiryo" w:hAnsi="Meiryo"/>
        </w:rPr>
        <w:t xml:space="preserve">重要そうな未公表情報を知ったときの安全側の初動は、「売買しない・伝えない・勧めない・消さない・相談する」です。Ｃのように、売買と情報共有を止め、知った日時等を記録し、社内の担当部門へ相談するのが適切で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Ａ：重要事実該当性を現場で最終判断してはいけません。</w:t>
      </w:r>
    </w:p>
    <w:p>
      <w:pPr>
        <w:pStyle w:val="ListParagraph"/>
        <w:numPr>
          <w:ilvl w:val="0"/>
          <w:numId w:val="2"/>
        </w:numPr>
        <w:spacing w:after="40" w:line="256"/>
      </w:pPr>
      <w:r>
        <w:rPr>
          <w:rFonts w:ascii="Meiryo" w:cs="Meiryo" w:eastAsia="Meiryo" w:hAnsi="Meiryo"/>
        </w:rPr>
        <w:t xml:space="preserve">Ｂ：家族名義での売買も問題になり得ます。</w:t>
      </w:r>
    </w:p>
    <w:p>
      <w:pPr>
        <w:pStyle w:val="ListParagraph"/>
        <w:numPr>
          <w:ilvl w:val="0"/>
          <w:numId w:val="2"/>
        </w:numPr>
        <w:spacing w:after="40" w:line="256"/>
      </w:pPr>
      <w:r>
        <w:rPr>
          <w:rFonts w:ascii="Meiryo" w:cs="Meiryo" w:eastAsia="Meiryo" w:hAnsi="Meiryo"/>
        </w:rPr>
        <w:t xml:space="preserve">Ｄ：SNSへの書き込みは情報伝達・取引推奨のリスクがあり、会社名をぼかしても危険です。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売買・情報共有を止める。</w:t>
      </w:r>
    </w:p>
    <w:p>
      <w:pPr>
        <w:pStyle w:val="ListParagraph"/>
        <w:numPr>
          <w:ilvl w:val="0"/>
          <w:numId w:val="2"/>
        </w:numPr>
        <w:spacing w:after="40" w:line="256"/>
      </w:pPr>
      <w:r>
        <w:rPr>
          <w:rFonts w:ascii="Meiryo" w:cs="Meiryo" w:eastAsia="Meiryo" w:hAnsi="Meiryo"/>
        </w:rPr>
        <w:t xml:space="preserve">知った日時・内容・情報源を記録する。</w:t>
      </w:r>
    </w:p>
    <w:p>
      <w:pPr>
        <w:pStyle w:val="ListParagraph"/>
        <w:numPr>
          <w:ilvl w:val="0"/>
          <w:numId w:val="2"/>
        </w:numPr>
        <w:spacing w:after="40" w:line="256"/>
      </w:pPr>
      <w:r>
        <w:rPr>
          <w:rFonts w:ascii="Meiryo" w:cs="Meiryo" w:eastAsia="Meiryo" w:hAnsi="Meiryo"/>
        </w:rPr>
        <w:t xml:space="preserve">法務・総務・IR・コンプライアンス・証券管理担当へ相談する。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未公表情報接触時の相談・報告フローと窓口。</w:t>
            </w:r>
          </w:p>
        </w:tc>
      </w:tr>
    </w:tbl>
    <w:p>
      <w:pPr>
        <w:pStyle w:val="Heading1"/>
      </w:pPr>
      <w:r>
        <w:rPr>
          <w:rFonts w:ascii="Meiryo" w:cs="Meiryo" w:eastAsia="Meiryo" w:hAnsi="Meiryo"/>
        </w:rPr>
        <w:t xml:space="preserve">問5　正解：Ｃ（誤っている選択肢）</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重要事実・公表の意味</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法令上の規制に関わる理解</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スライド8・13〜15</w:t>
            </w:r>
          </w:p>
        </w:tc>
      </w:tr>
    </w:tbl>
    <w:p>
      <w:pPr>
        <w:spacing w:after="80" w:line="264"/>
      </w:pPr>
      <w:r>
        <w:rPr>
          <w:rFonts w:ascii="Meiryo" w:cs="Meiryo" w:eastAsia="Meiryo" w:hAnsi="Meiryo"/>
        </w:rPr>
        <w:t xml:space="preserve">Ｃが誤りです。社内で公表予定のプレスリリースを見ただけでは「公表済み」にはなりません。公表は、法定の開示や適時開示など定められた方法・タイミングで情報が公衆の知り得る状態になることを指し、現場がニュースやSNSを見ただけ・社内資料を見ただけで「もう公表された」と判断してはいけません。Ａ・Ｂ・Ｄは正しい説明で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Ａ：決算・業績予想の修正は重要事実になり得ます（正しい）。</w:t>
      </w:r>
    </w:p>
    <w:p>
      <w:pPr>
        <w:pStyle w:val="ListParagraph"/>
        <w:numPr>
          <w:ilvl w:val="0"/>
          <w:numId w:val="2"/>
        </w:numPr>
        <w:spacing w:after="40" w:line="256"/>
      </w:pPr>
      <w:r>
        <w:rPr>
          <w:rFonts w:ascii="Meiryo" w:cs="Meiryo" w:eastAsia="Meiryo" w:hAnsi="Meiryo"/>
        </w:rPr>
        <w:t xml:space="preserve">Ｂ：M&amp;A・TOBは重要事実・公開買付け等事実になり得ます（正しい）。</w:t>
      </w:r>
    </w:p>
    <w:p>
      <w:pPr>
        <w:pStyle w:val="ListParagraph"/>
        <w:numPr>
          <w:ilvl w:val="0"/>
          <w:numId w:val="2"/>
        </w:numPr>
        <w:spacing w:after="40" w:line="256"/>
      </w:pPr>
      <w:r>
        <w:rPr>
          <w:rFonts w:ascii="Meiryo" w:cs="Meiryo" w:eastAsia="Meiryo" w:hAnsi="Meiryo"/>
        </w:rPr>
        <w:t xml:space="preserve">Ｄ：重要事実該当性を現場で最終判断せず相談するのは適切です（正しい）。</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「公表されたか」を現場でSNS・ニュース・社内資料だけで判断しない。</w:t>
      </w:r>
    </w:p>
    <w:p>
      <w:pPr>
        <w:pStyle w:val="ListParagraph"/>
        <w:numPr>
          <w:ilvl w:val="0"/>
          <w:numId w:val="2"/>
        </w:numPr>
        <w:spacing w:after="40" w:line="256"/>
      </w:pPr>
      <w:r>
        <w:rPr>
          <w:rFonts w:ascii="Meiryo" w:cs="Meiryo" w:eastAsia="Meiryo" w:hAnsi="Meiryo"/>
        </w:rPr>
        <w:t xml:space="preserve">公表のタイミング・方法はIR・担当部門に確認する。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自社の適時開示・公表手続と、公表前情報の取扱いルール。</w:t>
            </w:r>
          </w:p>
        </w:tc>
      </w:tr>
    </w:tbl>
    <w:p>
      <w:pPr>
        <w:pStyle w:val="Heading1"/>
      </w:pPr>
      <w:r>
        <w:rPr>
          <w:rFonts w:ascii="Meiryo" w:cs="Meiryo" w:eastAsia="Meiryo" w:hAnsi="Meiryo"/>
        </w:rPr>
        <w:t xml:space="preserve">問6　正解：Ｃ</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情報伝達・取引推奨規制</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法令上の規制に関わる理解</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スライド12・23</w:t>
            </w:r>
          </w:p>
        </w:tc>
      </w:tr>
    </w:tbl>
    <w:p>
      <w:pPr>
        <w:spacing w:after="80" w:line="264"/>
      </w:pPr>
      <w:r>
        <w:rPr>
          <w:rFonts w:ascii="Meiryo" w:cs="Meiryo" w:eastAsia="Meiryo" w:hAnsi="Meiryo"/>
        </w:rPr>
        <w:t xml:space="preserve">Ｃが正しい理解です。未公表情報を前提に家族・友人等へ情報を伝える・取引を勧める言動は、情報伝達・取引推奨（金融商品取引法167条の2）、社内規程違反、調査対象化のおそれがあるため避けます。なお、法令上の情報伝達・取引推奨該当性は事案によるため、現場で断定しないことも重要で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Ａ：「買え」と明示しなくても、取引を勧める言動は問題になり得ます。</w:t>
      </w:r>
    </w:p>
    <w:p>
      <w:pPr>
        <w:pStyle w:val="ListParagraph"/>
        <w:numPr>
          <w:ilvl w:val="0"/>
          <w:numId w:val="2"/>
        </w:numPr>
        <w:spacing w:after="40" w:line="256"/>
      </w:pPr>
      <w:r>
        <w:rPr>
          <w:rFonts w:ascii="Meiryo" w:cs="Meiryo" w:eastAsia="Meiryo" w:hAnsi="Meiryo"/>
        </w:rPr>
        <w:t xml:space="preserve">Ｂ：「今は買わない方がよい」と売買を控えるよう勧めることも、情報伝達・取引推奨・社内規程違反・調査対象化のおそれがあり、「必ず問題ない」とはいえません。</w:t>
      </w:r>
    </w:p>
    <w:p>
      <w:pPr>
        <w:pStyle w:val="ListParagraph"/>
        <w:numPr>
          <w:ilvl w:val="0"/>
          <w:numId w:val="2"/>
        </w:numPr>
        <w:spacing w:after="40" w:line="256"/>
      </w:pPr>
      <w:r>
        <w:rPr>
          <w:rFonts w:ascii="Meiryo" w:cs="Meiryo" w:eastAsia="Meiryo" w:hAnsi="Meiryo"/>
        </w:rPr>
        <w:t xml:space="preserve">Ｄ：相手が実際に取引したかどうかだけで安全とはいえません。</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未公表情報を伝えない。売買を勧めない・控えるよう勧めない。</w:t>
      </w:r>
    </w:p>
    <w:p>
      <w:pPr>
        <w:pStyle w:val="ListParagraph"/>
        <w:numPr>
          <w:ilvl w:val="0"/>
          <w:numId w:val="2"/>
        </w:numPr>
        <w:spacing w:after="40" w:line="256"/>
      </w:pPr>
      <w:r>
        <w:rPr>
          <w:rFonts w:ascii="Meiryo" w:cs="Meiryo" w:eastAsia="Meiryo" w:hAnsi="Meiryo"/>
        </w:rPr>
        <w:t xml:space="preserve">売買相談を受けたら、内容に立ち入らず社内窓口へつなぐ。</w:t>
      </w:r>
    </w:p>
    <w:p>
      <w:pPr>
        <w:pStyle w:val="ListParagraph"/>
        <w:numPr>
          <w:ilvl w:val="0"/>
          <w:numId w:val="2"/>
        </w:numPr>
        <w:spacing w:after="40" w:line="256"/>
      </w:pPr>
      <w:r>
        <w:rPr>
          <w:rFonts w:ascii="Meiryo" w:cs="Meiryo" w:eastAsia="Meiryo" w:hAnsi="Meiryo"/>
        </w:rPr>
        <w:t xml:space="preserve">うっかり伝えた場合は、証拠を消さず報告する。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情報伝達・取引推奨防止に関する社内ルールと、相談・報告窓口。</w:t>
            </w:r>
          </w:p>
        </w:tc>
      </w:tr>
    </w:tbl>
    <w:p>
      <w:pPr>
        <w:pStyle w:val="Heading1"/>
      </w:pPr>
      <w:r>
        <w:rPr>
          <w:rFonts w:ascii="Meiryo" w:cs="Meiryo" w:eastAsia="Meiryo" w:hAnsi="Meiryo"/>
        </w:rPr>
        <w:t xml:space="preserve">問7　正解：Ｂ</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役職員の売買管理・ブラックアウト・知る前計画</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自社ルール（規程運用）＋推奨実務</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スライド17〜19</w:t>
            </w:r>
          </w:p>
        </w:tc>
      </w:tr>
    </w:tbl>
    <w:p>
      <w:pPr>
        <w:spacing w:after="80" w:line="264"/>
      </w:pPr>
      <w:r>
        <w:rPr>
          <w:rFonts w:ascii="Meiryo" w:cs="Meiryo" w:eastAsia="Meiryo" w:hAnsi="Meiryo"/>
        </w:rPr>
        <w:t xml:space="preserve">Ｂが適切です。売買予定があるときは、まず社内の売買管理規程（事前届出・承認・ブラックアウト期間等）を確認します。持株会・ストックオプション・知る前契約/計画も「常に安全」ではなく、制度上の要件と社内手続の確認が必要で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Ａ：持株会でも要件・社内手続の確認が必要で、常に安全ではありません。</w:t>
      </w:r>
    </w:p>
    <w:p>
      <w:pPr>
        <w:pStyle w:val="ListParagraph"/>
        <w:numPr>
          <w:ilvl w:val="0"/>
          <w:numId w:val="2"/>
        </w:numPr>
        <w:spacing w:after="40" w:line="256"/>
      </w:pPr>
      <w:r>
        <w:rPr>
          <w:rFonts w:ascii="Meiryo" w:cs="Meiryo" w:eastAsia="Meiryo" w:hAnsi="Meiryo"/>
        </w:rPr>
        <w:t xml:space="preserve">Ｃ：知る前計画は形式だけでは足りず、作成時期・内容・変更・社内承認等の確認が必要です。</w:t>
      </w:r>
    </w:p>
    <w:p>
      <w:pPr>
        <w:pStyle w:val="ListParagraph"/>
        <w:numPr>
          <w:ilvl w:val="0"/>
          <w:numId w:val="2"/>
        </w:numPr>
        <w:spacing w:after="40" w:line="256"/>
      </w:pPr>
      <w:r>
        <w:rPr>
          <w:rFonts w:ascii="Meiryo" w:cs="Meiryo" w:eastAsia="Meiryo" w:hAnsi="Meiryo"/>
        </w:rPr>
        <w:t xml:space="preserve">Ｄ：家族名義での売買も問題になり得ます。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売買前に売買管理規程・事前届出・承認・ブラックアウト期間を確認する。</w:t>
      </w:r>
    </w:p>
    <w:p>
      <w:pPr>
        <w:pStyle w:val="ListParagraph"/>
        <w:numPr>
          <w:ilvl w:val="0"/>
          <w:numId w:val="2"/>
        </w:numPr>
        <w:spacing w:after="40" w:line="256"/>
      </w:pPr>
      <w:r>
        <w:rPr>
          <w:rFonts w:ascii="Meiryo" w:cs="Meiryo" w:eastAsia="Meiryo" w:hAnsi="Meiryo"/>
        </w:rPr>
        <w:t xml:space="preserve">持株会・SO・知る前計画の扱いを担当部門に確認する。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役職員株式売買管理規程、事前届出・承認フロー、ブラックアウト期間、持株会・SO・知る前計画の運用ルール。</w:t>
            </w:r>
          </w:p>
        </w:tc>
      </w:tr>
    </w:tbl>
    <w:p>
      <w:r>
        <w:br w:type="page"/>
      </w:r>
    </w:p>
    <w:p>
      <w:pPr>
        <w:pStyle w:val="Heading1"/>
      </w:pPr>
      <w:r>
        <w:rPr>
          <w:rFonts w:ascii="Meiryo" w:cs="Meiryo" w:eastAsia="Meiryo" w:hAnsi="Meiryo"/>
        </w:rPr>
        <w:t xml:space="preserve">問8　正解：Ｃ</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ケース：決算情報と自社株（決算・売買管理・初動）</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法令理解＋自社ルール＋推奨実務</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スライド26・13・17・18</w:t>
            </w:r>
          </w:p>
        </w:tc>
      </w:tr>
    </w:tbl>
    <w:p>
      <w:pPr>
        <w:spacing w:after="80" w:line="264"/>
      </w:pPr>
      <w:r>
        <w:rPr>
          <w:rFonts w:ascii="Meiryo" w:cs="Meiryo" w:eastAsia="Meiryo" w:hAnsi="Meiryo"/>
        </w:rPr>
        <w:t xml:space="preserve">Ｃが適切です。未公表の決算情報は重要事実になり得ます。発表前の自社株売却は止め、ブラックアウト期間・売買管理規程を確認し、担当部門へ相談します。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Ａ：未公表の重要情報を知った上での発表前売却は問題になり得ます。</w:t>
      </w:r>
    </w:p>
    <w:p>
      <w:pPr>
        <w:pStyle w:val="ListParagraph"/>
        <w:numPr>
          <w:ilvl w:val="0"/>
          <w:numId w:val="2"/>
        </w:numPr>
        <w:spacing w:after="40" w:line="256"/>
      </w:pPr>
      <w:r>
        <w:rPr>
          <w:rFonts w:ascii="Meiryo" w:cs="Meiryo" w:eastAsia="Meiryo" w:hAnsi="Meiryo"/>
        </w:rPr>
        <w:t xml:space="preserve">Ｂ：家族名義でも問題になり得ます。</w:t>
      </w:r>
    </w:p>
    <w:p>
      <w:pPr>
        <w:pStyle w:val="ListParagraph"/>
        <w:numPr>
          <w:ilvl w:val="0"/>
          <w:numId w:val="2"/>
        </w:numPr>
        <w:spacing w:after="40" w:line="256"/>
      </w:pPr>
      <w:r>
        <w:rPr>
          <w:rFonts w:ascii="Meiryo" w:cs="Meiryo" w:eastAsia="Meiryo" w:hAnsi="Meiryo"/>
        </w:rPr>
        <w:t xml:space="preserve">Ｄ：同僚への推奨は情報伝達・取引推奨のリスクがあります。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自社株の売買を止める。</w:t>
      </w:r>
    </w:p>
    <w:p>
      <w:pPr>
        <w:pStyle w:val="ListParagraph"/>
        <w:numPr>
          <w:ilvl w:val="0"/>
          <w:numId w:val="2"/>
        </w:numPr>
        <w:spacing w:after="40" w:line="256"/>
      </w:pPr>
      <w:r>
        <w:rPr>
          <w:rFonts w:ascii="Meiryo" w:cs="Meiryo" w:eastAsia="Meiryo" w:hAnsi="Meiryo"/>
        </w:rPr>
        <w:t xml:space="preserve">ブラックアウト期間・売買管理規程を確認する。</w:t>
      </w:r>
    </w:p>
    <w:p>
      <w:pPr>
        <w:pStyle w:val="ListParagraph"/>
        <w:numPr>
          <w:ilvl w:val="0"/>
          <w:numId w:val="2"/>
        </w:numPr>
        <w:spacing w:after="40" w:line="256"/>
      </w:pPr>
      <w:r>
        <w:rPr>
          <w:rFonts w:ascii="Meiryo" w:cs="Meiryo" w:eastAsia="Meiryo" w:hAnsi="Meiryo"/>
        </w:rPr>
        <w:t xml:space="preserve">経理・IR・法務・証券管理担当へ相談し、記録を残す。</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決算前のブラックアウト期間と、決算情報に接する部門の売買管理ルール。</w:t>
            </w:r>
          </w:p>
        </w:tc>
      </w:tr>
    </w:tbl>
    <w:p>
      <w:pPr>
        <w:pStyle w:val="Heading1"/>
      </w:pPr>
      <w:r>
        <w:rPr>
          <w:rFonts w:ascii="Meiryo" w:cs="Meiryo" w:eastAsia="Meiryo" w:hAnsi="Meiryo"/>
        </w:rPr>
        <w:t xml:space="preserve">問9　正解：Ｂ</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ケース：M&amp;Aと対象会社株・家族名義</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法令理解＋自社ルール</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スライド27・14・11・10</w:t>
            </w:r>
          </w:p>
        </w:tc>
      </w:tr>
    </w:tbl>
    <w:p>
      <w:pPr>
        <w:spacing w:after="80" w:line="264"/>
      </w:pPr>
      <w:r>
        <w:rPr>
          <w:rFonts w:ascii="Meiryo" w:cs="Meiryo" w:eastAsia="Meiryo" w:hAnsi="Meiryo"/>
        </w:rPr>
        <w:t xml:space="preserve">Ｂが適切です。未公表のM&amp;A情報は重要事実・公開買付け等事実になり得ます。対象会社株（自社株でなくても）の売買・情報共有をせず、担当部門へ相談します。家族名義であっても問題になり得ます。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Ａ：配偶者名義でも問題になり得ます。</w:t>
      </w:r>
    </w:p>
    <w:p>
      <w:pPr>
        <w:pStyle w:val="ListParagraph"/>
        <w:numPr>
          <w:ilvl w:val="0"/>
          <w:numId w:val="2"/>
        </w:numPr>
        <w:spacing w:after="40" w:line="256"/>
      </w:pPr>
      <w:r>
        <w:rPr>
          <w:rFonts w:ascii="Meiryo" w:cs="Meiryo" w:eastAsia="Meiryo" w:hAnsi="Meiryo"/>
        </w:rPr>
        <w:t xml:space="preserve">Ｃ：対象会社株は自社株でなくても規制対象になり得ます。</w:t>
      </w:r>
    </w:p>
    <w:p>
      <w:pPr>
        <w:pStyle w:val="ListParagraph"/>
        <w:numPr>
          <w:ilvl w:val="0"/>
          <w:numId w:val="2"/>
        </w:numPr>
        <w:spacing w:after="40" w:line="256"/>
      </w:pPr>
      <w:r>
        <w:rPr>
          <w:rFonts w:ascii="Meiryo" w:cs="Meiryo" w:eastAsia="Meiryo" w:hAnsi="Meiryo"/>
        </w:rPr>
        <w:t xml:space="preserve">Ｄ：友人への推奨は情報伝達・取引推奨のリスクがあります。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対象会社株の売買・情報共有を止める。</w:t>
      </w:r>
    </w:p>
    <w:p>
      <w:pPr>
        <w:pStyle w:val="ListParagraph"/>
        <w:numPr>
          <w:ilvl w:val="0"/>
          <w:numId w:val="2"/>
        </w:numPr>
        <w:spacing w:after="40" w:line="256"/>
      </w:pPr>
      <w:r>
        <w:rPr>
          <w:rFonts w:ascii="Meiryo" w:cs="Meiryo" w:eastAsia="Meiryo" w:hAnsi="Meiryo"/>
        </w:rPr>
        <w:t xml:space="preserve">本人名義・家族名義を問わず売買しない。</w:t>
      </w:r>
    </w:p>
    <w:p>
      <w:pPr>
        <w:pStyle w:val="ListParagraph"/>
        <w:numPr>
          <w:ilvl w:val="0"/>
          <w:numId w:val="2"/>
        </w:numPr>
        <w:spacing w:after="40" w:line="256"/>
      </w:pPr>
      <w:r>
        <w:rPr>
          <w:rFonts w:ascii="Meiryo" w:cs="Meiryo" w:eastAsia="Meiryo" w:hAnsi="Meiryo"/>
        </w:rPr>
        <w:t xml:space="preserve">法務・コンプライアンス・証券管理担当へ相談し、記録する。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M&amp;A・公開買付け情報の管理ルールと、対象会社等の銘柄を含む売買管理。</w:t>
            </w:r>
          </w:p>
        </w:tc>
      </w:tr>
    </w:tbl>
    <w:p>
      <w:pPr>
        <w:pStyle w:val="Heading1"/>
      </w:pPr>
      <w:r>
        <w:rPr>
          <w:rFonts w:ascii="Meiryo" w:cs="Meiryo" w:eastAsia="Meiryo" w:hAnsi="Meiryo"/>
        </w:rPr>
        <w:t xml:space="preserve">問10　正解：Ｂ</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ケース：家族への取引推奨（情報伝達・取引推奨）</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法令理解＋推奨実務</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スライド28・12・23</w:t>
            </w:r>
          </w:p>
        </w:tc>
      </w:tr>
    </w:tbl>
    <w:p>
      <w:pPr>
        <w:spacing w:after="80" w:line="264"/>
      </w:pPr>
      <w:r>
        <w:rPr>
          <w:rFonts w:ascii="Meiryo" w:cs="Meiryo" w:eastAsia="Meiryo" w:hAnsi="Meiryo"/>
        </w:rPr>
        <w:t xml:space="preserve">Ｂが適切です。理由を伝えていなくても、未公表情報を前提に「今は買わない方がよい」などと売買を控えるよう勧める言動は、情報伝達・取引推奨・社内規程違反・調査対象化のおそれがあるため避けます。法令上の該当性は事案によるため現場で断定せず、家族への対応も含め社内へ相談・記録するのが安全で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Ａ：理由を言わなくても、情報伝達・取引推奨等のおそれがあり「まったく問題ない」とはいえません。</w:t>
      </w:r>
    </w:p>
    <w:p>
      <w:pPr>
        <w:pStyle w:val="ListParagraph"/>
        <w:numPr>
          <w:ilvl w:val="0"/>
          <w:numId w:val="2"/>
        </w:numPr>
        <w:spacing w:after="40" w:line="256"/>
      </w:pPr>
      <w:r>
        <w:rPr>
          <w:rFonts w:ascii="Meiryo" w:cs="Meiryo" w:eastAsia="Meiryo" w:hAnsi="Meiryo"/>
        </w:rPr>
        <w:t xml:space="preserve">Ｃ：家族へのアドバイスでも問題になり得ます。</w:t>
      </w:r>
    </w:p>
    <w:p>
      <w:pPr>
        <w:pStyle w:val="ListParagraph"/>
        <w:numPr>
          <w:ilvl w:val="0"/>
          <w:numId w:val="2"/>
        </w:numPr>
        <w:spacing w:after="40" w:line="256"/>
      </w:pPr>
      <w:r>
        <w:rPr>
          <w:rFonts w:ascii="Meiryo" w:cs="Meiryo" w:eastAsia="Meiryo" w:hAnsi="Meiryo"/>
        </w:rPr>
        <w:t xml:space="preserve">Ｄ：強く言えばよいという問題ではなく、推奨自体を避けるべきです。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売買を勧める・控えるよう勧める言動を避ける。</w:t>
      </w:r>
    </w:p>
    <w:p>
      <w:pPr>
        <w:pStyle w:val="ListParagraph"/>
        <w:numPr>
          <w:ilvl w:val="0"/>
          <w:numId w:val="2"/>
        </w:numPr>
        <w:spacing w:after="40" w:line="256"/>
      </w:pPr>
      <w:r>
        <w:rPr>
          <w:rFonts w:ascii="Meiryo" w:cs="Meiryo" w:eastAsia="Meiryo" w:hAnsi="Meiryo"/>
        </w:rPr>
        <w:t xml:space="preserve">家族から相談されても内容に立ち入らず、社内窓口へ相談する。</w:t>
      </w:r>
    </w:p>
    <w:p>
      <w:pPr>
        <w:pStyle w:val="ListParagraph"/>
        <w:numPr>
          <w:ilvl w:val="0"/>
          <w:numId w:val="2"/>
        </w:numPr>
        <w:spacing w:after="40" w:line="256"/>
      </w:pPr>
      <w:r>
        <w:rPr>
          <w:rFonts w:ascii="Meiryo" w:cs="Meiryo" w:eastAsia="Meiryo" w:hAnsi="Meiryo"/>
        </w:rPr>
        <w:t xml:space="preserve">既に伝えてしまった場合は、証拠を消さず報告する。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家族・同居者を含む情報伝達・取引推奨防止の周知方法と相談窓口。</w:t>
            </w:r>
          </w:p>
        </w:tc>
      </w:tr>
    </w:tbl>
    <w:p>
      <w:pPr>
        <w:pStyle w:val="Heading1"/>
      </w:pPr>
      <w:r>
        <w:rPr>
          <w:rFonts w:ascii="Meiryo" w:cs="Meiryo" w:eastAsia="Meiryo" w:hAnsi="Meiryo"/>
        </w:rPr>
        <w:t xml:space="preserve">問11　正解：Ｂ</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ケース：チャットでの情報共有（法人関係情報・証拠保全・初動）</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法令理解＋自社ルール＋推奨実務</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スライド30・20・24・16</w:t>
            </w:r>
          </w:p>
        </w:tc>
      </w:tr>
    </w:tbl>
    <w:p>
      <w:pPr>
        <w:spacing w:after="80" w:line="264"/>
      </w:pPr>
      <w:r>
        <w:rPr>
          <w:rFonts w:ascii="Meiryo" w:cs="Meiryo" w:eastAsia="Meiryo" w:hAnsi="Meiryo"/>
        </w:rPr>
        <w:t xml:space="preserve">Ｂが適切です。非関係者を含むチャットへの未公表情報の書き込みは、法人関係情報の管理・情報伝達の問題になり得ます。証拠を消さず、共有範囲・経緯を記録し、すぐ情報管理責任者・法務等へ報告しま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Ａ：証拠の削除は不適切で、事態を悪化させます。</w:t>
      </w:r>
    </w:p>
    <w:p>
      <w:pPr>
        <w:pStyle w:val="ListParagraph"/>
        <w:numPr>
          <w:ilvl w:val="0"/>
          <w:numId w:val="2"/>
        </w:numPr>
        <w:spacing w:after="40" w:line="256"/>
      </w:pPr>
      <w:r>
        <w:rPr>
          <w:rFonts w:ascii="Meiryo" w:cs="Meiryo" w:eastAsia="Meiryo" w:hAnsi="Meiryo"/>
        </w:rPr>
        <w:t xml:space="preserve">Ｃ：「忘れて」と伝えるだけでは情報は戻らず、報告も必要です。</w:t>
      </w:r>
    </w:p>
    <w:p>
      <w:pPr>
        <w:pStyle w:val="ListParagraph"/>
        <w:numPr>
          <w:ilvl w:val="0"/>
          <w:numId w:val="2"/>
        </w:numPr>
        <w:spacing w:after="40" w:line="256"/>
      </w:pPr>
      <w:r>
        <w:rPr>
          <w:rFonts w:ascii="Meiryo" w:cs="Meiryo" w:eastAsia="Meiryo" w:hAnsi="Meiryo"/>
        </w:rPr>
        <w:t xml:space="preserve">Ｄ：本人だけで動かず、社内の管理責任者・法務等へ報告します。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以後の共有を止め、証拠（投稿・履歴）を消さない。</w:t>
      </w:r>
    </w:p>
    <w:p>
      <w:pPr>
        <w:pStyle w:val="ListParagraph"/>
        <w:numPr>
          <w:ilvl w:val="0"/>
          <w:numId w:val="2"/>
        </w:numPr>
        <w:spacing w:after="40" w:line="256"/>
      </w:pPr>
      <w:r>
        <w:rPr>
          <w:rFonts w:ascii="Meiryo" w:cs="Meiryo" w:eastAsia="Meiryo" w:hAnsi="Meiryo"/>
        </w:rPr>
        <w:t xml:space="preserve">共有範囲・経緯を記録する。</w:t>
      </w:r>
    </w:p>
    <w:p>
      <w:pPr>
        <w:pStyle w:val="ListParagraph"/>
        <w:numPr>
          <w:ilvl w:val="0"/>
          <w:numId w:val="2"/>
        </w:numPr>
        <w:spacing w:after="40" w:line="256"/>
      </w:pPr>
      <w:r>
        <w:rPr>
          <w:rFonts w:ascii="Meiryo" w:cs="Meiryo" w:eastAsia="Meiryo" w:hAnsi="Meiryo"/>
        </w:rPr>
        <w:t xml:space="preserve">情報管理責任者・法務・コンプライアンス等へ直ちに報告する。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法人関係情報のアクセス制限・共有範囲管理と、漏えい時の初動・報告フロー。</w:t>
            </w:r>
          </w:p>
        </w:tc>
      </w:tr>
    </w:tbl>
    <w:p>
      <w:pPr>
        <w:pStyle w:val="Heading1"/>
      </w:pPr>
      <w:r>
        <w:rPr>
          <w:rFonts w:ascii="Meiryo" w:cs="Meiryo" w:eastAsia="Meiryo" w:hAnsi="Meiryo"/>
        </w:rPr>
        <w:t xml:space="preserve">問12　正解：Ｃ</w:t>
      </w:r>
    </w:p>
    <w:tbl>
      <w:tblPr>
        <w:tblW w:type="dxa" w:w="9746"/>
        <w:tblBorders>
          <w:top w:val="single" w:color="C9D2DA" w:sz="4"/>
          <w:left w:val="single" w:color="C9D2DA" w:sz="4"/>
          <w:bottom w:val="single" w:color="C9D2DA" w:sz="4"/>
          <w:right w:val="single" w:color="C9D2DA" w:sz="4"/>
          <w:insideH w:val="single" w:color="C9D2DA" w:sz="4"/>
          <w:insideV w:val="single" w:color="C9D2DA" w:sz="4"/>
        </w:tblBorders>
      </w:tblPr>
      <w:tblGrid>
        <w:gridCol w:w="2400"/>
        <w:gridCol w:w="7346"/>
      </w:tblGrid>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論点</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ケース：知る前計画の現場判断（知る前契約・計画・売買管理）</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区分（目安）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法令理解＋自社ルール</w:t>
            </w:r>
          </w:p>
        </w:tc>
      </w:tr>
      <w:tr>
        <w:tc>
          <w:tcPr>
            <w:tcW w:type="dxa" w:w="2400"/>
            <w:shd w:fill="EEF2F6" w:color="auto" w:val="clear"/>
            <w:tcMar>
              <w:top w:type="dxa" w:w="70"/>
              <w:left w:type="dxa" w:w="110"/>
              <w:bottom w:type="dxa" w:w="70"/>
              <w:right w:type="dxa" w:w="110"/>
            </w:tcMar>
            <w:vAlign w:val="center"/>
          </w:tcPr>
          <w:p>
            <w:pPr>
              <w:spacing w:after="0" w:line="252"/>
            </w:pPr>
            <w:r>
              <w:rPr>
                <w:rFonts w:ascii="Meiryo" w:cs="Meiryo" w:eastAsia="Meiryo" w:hAnsi="Meiryo"/>
                <w:b/>
                <w:bCs/>
                <w:color w:val="16314F"/>
              </w:rPr>
              <w:t xml:space="preserve">対応スライド</w:t>
            </w:r>
          </w:p>
        </w:tc>
        <w:tc>
          <w:tcPr>
            <w:tcW w:type="dxa" w:w="7346"/>
            <w:tcMar>
              <w:top w:type="dxa" w:w="130"/>
              <w:left w:type="dxa" w:w="110"/>
              <w:bottom w:type="dxa" w:w="130"/>
              <w:right w:type="dxa" w:w="110"/>
            </w:tcMar>
            <w:vAlign w:val="top"/>
          </w:tcPr>
          <w:p>
            <w:pPr>
              <w:spacing w:after="0" w:line="252"/>
            </w:pPr>
            <w:r>
              <w:rPr>
                <w:rFonts w:ascii="Meiryo" w:cs="Meiryo" w:eastAsia="Meiryo" w:hAnsi="Meiryo"/>
              </w:rPr>
              <w:t xml:space="preserve">スライド31・19</w:t>
            </w:r>
          </w:p>
        </w:tc>
      </w:tr>
    </w:tbl>
    <w:p>
      <w:pPr>
        <w:spacing w:after="80" w:line="264"/>
      </w:pPr>
      <w:r>
        <w:rPr>
          <w:rFonts w:ascii="Meiryo" w:cs="Meiryo" w:eastAsia="Meiryo" w:hAnsi="Meiryo"/>
        </w:rPr>
        <w:t xml:space="preserve">Ｃが適切です。知る前契約・計画に基づく売買は、一定要件の下で適用除外になり得ますが、形式を作れば常に安全というものではありません。作成時期・内容・変更・裁量の有無・社内手続・証拠化の確認が必要で、役員であっても現場（本人）が独断せず、法務・証券管理担当に相談してから判断します。</w:t>
      </w:r>
    </w:p>
    <w:p>
      <w:pPr>
        <w:spacing w:after="50" w:line="264"/>
      </w:pPr>
      <w:r>
        <w:rPr>
          <w:rFonts w:ascii="Meiryo" w:cs="Meiryo" w:eastAsia="Meiryo" w:hAnsi="Meiryo"/>
          <w:b/>
          <w:bCs/>
          <w:color w:val="16314F"/>
        </w:rPr>
        <w:t xml:space="preserve">他の選択肢が適切でない理由：</w:t>
      </w:r>
    </w:p>
    <w:p>
      <w:pPr>
        <w:pStyle w:val="ListParagraph"/>
        <w:numPr>
          <w:ilvl w:val="0"/>
          <w:numId w:val="2"/>
        </w:numPr>
        <w:spacing w:after="40" w:line="256"/>
      </w:pPr>
      <w:r>
        <w:rPr>
          <w:rFonts w:ascii="Meiryo" w:cs="Meiryo" w:eastAsia="Meiryo" w:hAnsi="Meiryo"/>
        </w:rPr>
        <w:t xml:space="preserve">Ａ：知る前計画があっても常に安全ではありません。</w:t>
      </w:r>
    </w:p>
    <w:p>
      <w:pPr>
        <w:pStyle w:val="ListParagraph"/>
        <w:numPr>
          <w:ilvl w:val="0"/>
          <w:numId w:val="2"/>
        </w:numPr>
        <w:spacing w:after="40" w:line="256"/>
      </w:pPr>
      <w:r>
        <w:rPr>
          <w:rFonts w:ascii="Meiryo" w:cs="Meiryo" w:eastAsia="Meiryo" w:hAnsi="Meiryo"/>
        </w:rPr>
        <w:t xml:space="preserve">Ｂ：役員でも自分の判断だけで売ってよいとはいえません。</w:t>
      </w:r>
    </w:p>
    <w:p>
      <w:pPr>
        <w:pStyle w:val="ListParagraph"/>
        <w:numPr>
          <w:ilvl w:val="0"/>
          <w:numId w:val="2"/>
        </w:numPr>
        <w:spacing w:after="40" w:line="256"/>
      </w:pPr>
      <w:r>
        <w:rPr>
          <w:rFonts w:ascii="Meiryo" w:cs="Meiryo" w:eastAsia="Meiryo" w:hAnsi="Meiryo"/>
        </w:rPr>
        <w:t xml:space="preserve">Ｄ：家族名義に変えても問題は解消せず、むしろ別のリスクが生じます。</w:t>
      </w:r>
    </w:p>
    <w:p>
      <w:pPr>
        <w:spacing w:after="50" w:line="264"/>
      </w:pPr>
      <w:r>
        <w:rPr>
          <w:rFonts w:ascii="Meiryo" w:cs="Meiryo" w:eastAsia="Meiryo" w:hAnsi="Meiryo"/>
          <w:b/>
          <w:bCs/>
          <w:color w:val="2F6B4F"/>
        </w:rPr>
        <w:t xml:space="preserve">現場で取るべき対応：</w:t>
      </w:r>
    </w:p>
    <w:p>
      <w:pPr>
        <w:pStyle w:val="ListParagraph"/>
        <w:numPr>
          <w:ilvl w:val="0"/>
          <w:numId w:val="2"/>
        </w:numPr>
        <w:spacing w:after="40" w:line="256"/>
      </w:pPr>
      <w:r>
        <w:rPr>
          <w:rFonts w:ascii="Meiryo" w:cs="Meiryo" w:eastAsia="Meiryo" w:hAnsi="Meiryo"/>
        </w:rPr>
        <w:t xml:space="preserve">知る前契約・計画の要件と社内手続を確認する。</w:t>
      </w:r>
    </w:p>
    <w:p>
      <w:pPr>
        <w:pStyle w:val="ListParagraph"/>
        <w:numPr>
          <w:ilvl w:val="0"/>
          <w:numId w:val="2"/>
        </w:numPr>
        <w:spacing w:after="40" w:line="256"/>
      </w:pPr>
      <w:r>
        <w:rPr>
          <w:rFonts w:ascii="Meiryo" w:cs="Meiryo" w:eastAsia="Meiryo" w:hAnsi="Meiryo"/>
        </w:rPr>
        <w:t xml:space="preserve">本人判断で売買せず、法務・証券管理担当に相談する。</w:t>
      </w:r>
    </w:p>
    <w:p>
      <w:pPr>
        <w:pStyle w:val="ListParagraph"/>
        <w:numPr>
          <w:ilvl w:val="0"/>
          <w:numId w:val="2"/>
        </w:numPr>
        <w:spacing w:after="40" w:line="256"/>
      </w:pPr>
      <w:r>
        <w:rPr>
          <w:rFonts w:ascii="Meiryo" w:cs="Meiryo" w:eastAsia="Meiryo" w:hAnsi="Meiryo"/>
        </w:rPr>
        <w:t xml:space="preserve">計画の作成時期・内容・変更・承認の記録を整える。</w:t>
      </w:r>
    </w:p>
    <w:tbl>
      <w:tblPr>
        <w:tblW w:type="dxa" w:w="9746"/>
        <w:tblBorders>
          <w:top w:val="single" w:color="7A5A18" w:sz="4"/>
          <w:left w:val="single" w:color="7A5A18" w:sz="4"/>
          <w:bottom w:val="single" w:color="7A5A18" w:sz="4"/>
          <w:right w:val="single" w:color="7A5A18" w:sz="4"/>
          <w:insideH w:val="single" w:color="auto" w:sz="4"/>
          <w:insideV w:val="single" w:color="auto" w:sz="4"/>
        </w:tblBorders>
      </w:tblPr>
      <w:tblGrid>
        <w:gridCol w:w="9746"/>
      </w:tblGrid>
      <w:tr>
        <w:tc>
          <w:tcPr>
            <w:tcW w:type="dxa" w:w="9746"/>
            <w:shd w:fill="F7F0E1" w:color="auto" w:val="clear"/>
            <w:tcMar>
              <w:top w:type="dxa" w:w="110"/>
              <w:left w:type="dxa" w:w="160"/>
              <w:bottom w:type="dxa" w:w="110"/>
              <w:right w:type="dxa" w:w="160"/>
            </w:tcMar>
          </w:tcPr>
          <w:p>
            <w:pPr>
              <w:spacing w:after="60"/>
            </w:pPr>
            <w:r>
              <w:rPr>
                <w:rFonts w:ascii="Meiryo" w:cs="Meiryo" w:eastAsia="Meiryo" w:hAnsi="Meiryo"/>
                <w:b/>
                <w:bCs/>
                <w:color w:val="7A5A18"/>
                <w:sz w:val="21"/>
                <w:szCs w:val="21"/>
              </w:rPr>
              <w:t xml:space="preserve">自社規程で確認すべき事項</w:t>
            </w:r>
          </w:p>
          <w:p>
            <w:pPr>
              <w:spacing w:after="0" w:line="264"/>
            </w:pPr>
            <w:r>
              <w:rPr>
                <w:rFonts w:ascii="Meiryo" w:cs="Meiryo" w:eastAsia="Meiryo" w:hAnsi="Meiryo"/>
                <w:color w:val="16314F"/>
              </w:rPr>
              <w:t xml:space="preserve">知る前契約・計画の管理ルールと、要件確認・承認の手続。</w:t>
            </w:r>
          </w:p>
        </w:tc>
      </w:tr>
    </w:tbl>
    <w:p>
      <w:pPr>
        <w:spacing w:after="140"/>
      </w:pPr>
      <w:r>
        <w:rPr>
          <w:rFonts w:ascii="Meiryo" w:cs="Meiryo" w:eastAsia="Meiryo" w:hAnsi="Meiryo"/>
        </w:rPr>
        <w:t xml:space="preserve"/>
      </w:r>
    </w:p>
    <w:tbl>
      <w:tblPr>
        <w:tblW w:type="dxa" w:w="9746"/>
        <w:tblBorders>
          <w:top w:val="single" w:color="16314F" w:sz="4"/>
          <w:left w:val="single" w:color="16314F" w:sz="4"/>
          <w:bottom w:val="single" w:color="16314F" w:sz="4"/>
          <w:right w:val="single" w:color="16314F" w:sz="4"/>
          <w:insideH w:val="single" w:color="auto" w:sz="4"/>
          <w:insideV w:val="single" w:color="auto" w:sz="4"/>
        </w:tblBorders>
      </w:tblPr>
      <w:tblGrid>
        <w:gridCol w:w="9746"/>
      </w:tblGrid>
      <w:tr>
        <w:tc>
          <w:tcPr>
            <w:tcW w:type="dxa" w:w="9746"/>
            <w:shd w:fill="EEF2F6" w:color="auto" w:val="clear"/>
            <w:tcMar>
              <w:top w:type="dxa" w:w="110"/>
              <w:left w:type="dxa" w:w="160"/>
              <w:bottom w:type="dxa" w:w="110"/>
              <w:right w:type="dxa" w:w="160"/>
            </w:tcMar>
          </w:tcPr>
          <w:p>
            <w:pPr>
              <w:spacing w:after="60"/>
            </w:pPr>
            <w:r>
              <w:rPr>
                <w:rFonts w:ascii="Meiryo" w:cs="Meiryo" w:eastAsia="Meiryo" w:hAnsi="Meiryo"/>
                <w:b/>
                <w:bCs/>
                <w:color w:val="16314F"/>
                <w:sz w:val="21"/>
                <w:szCs w:val="21"/>
              </w:rPr>
              <w:t xml:space="preserve">全問に共通する評価のポイント</w:t>
            </w:r>
          </w:p>
          <w:p>
            <w:pPr>
              <w:spacing w:after="0" w:line="264"/>
            </w:pPr>
            <w:r>
              <w:rPr>
                <w:rFonts w:ascii="Meiryo" w:cs="Meiryo" w:eastAsia="Meiryo" w:hAnsi="Meiryo"/>
                <w:color w:val="16314F"/>
              </w:rPr>
              <w:t xml:space="preserve">正解の暗記よりも、「未公表で重要そうな情報を知ったら、売買・伝達・推奨をせず、証拠を消さず、すぐ相談・報告する」という初動が身についているかを重視してください。重要事実該当性・売買可否・情報伝達/取引推奨該当性を、現場やAIが最終判断しないことが最重要です。</w:t>
            </w:r>
          </w:p>
        </w:tc>
      </w:tr>
    </w:tbl>
    <w:sectPr>
      <w:headerReference w:type="default" r:id="rId7"/>
      <w:footerReference w:type="default" r:id="rId8"/>
      <w:pgSz w:w="11906" w:h="16838" w:orient="portrait"/>
      <w:pgMar w:top="1134" w:right="1080" w:bottom="1134" w:left="108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center" w:pos="4873"/>
        <w:tab w:val="right" w:pos="9746"/>
      </w:tabs>
    </w:pPr>
    <w:r>
      <w:rPr>
        <w:rFonts w:ascii="Meiryo" w:cs="Meiryo" w:eastAsia="Meiryo" w:hAnsi="Meiryo"/>
        <w:color w:val="5B6B78"/>
        <w:sz w:val="16"/>
        <w:szCs w:val="16"/>
      </w:rPr>
      <w:t xml:space="preserve">法令・制度基準日：2026年6月18日</w:t>
    </w:r>
    <w:r>
      <w:rPr>
        <w:rFonts w:ascii="Meiryo" w:cs="Meiryo" w:eastAsia="Meiryo" w:hAnsi="Meiryo"/>
      </w:rPr>
      <w:t xml:space="preserve">	</w:t>
    </w:r>
    <w:r>
      <w:rPr>
        <w:rFonts w:ascii="Meiryo" w:cs="Meiryo" w:eastAsia="Meiryo" w:hAnsi="Meiryo"/>
        <w:color w:val="5B6B78"/>
        <w:sz w:val="16"/>
        <w:szCs w:val="16"/>
      </w:rPr>
      <w:fldChar w:fldCharType="begin"/>
      <w:instrText xml:space="preserve">PAGE</w:instrText>
      <w:fldChar w:fldCharType="separate"/>
      <w:fldChar w:fldCharType="end"/>
    </w:r>
    <w:r>
      <w:rPr>
        <w:rFonts w:ascii="Meiryo" w:cs="Meiryo" w:eastAsia="Meiryo" w:hAnsi="Meiryo"/>
        <w:color w:val="5B6B78"/>
        <w:sz w:val="14"/>
        <w:szCs w:val="14"/>
      </w:rPr>
      <w:t xml:space="preserve">	本資料は自社ルールの補充を前提とした汎用ひな形です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2DA" w:sz="4" w:space="4"/>
      </w:pBdr>
      <w:tabs>
        <w:tab w:val="right" w:pos="9746"/>
      </w:tabs>
      <w:spacing w:after="60"/>
    </w:pPr>
    <w:r>
      <w:rPr>
        <w:rFonts w:ascii="Meiryo" w:cs="Meiryo" w:eastAsia="Meiryo" w:hAnsi="Meiryo"/>
        <w:color w:val="5B6B78"/>
        <w:sz w:val="16"/>
        <w:szCs w:val="16"/>
      </w:rPr>
      <w:t xml:space="preserve">Legal GPT｜法務・総務のための社内研修資料20選（第20回・最終回）</w:t>
    </w:r>
    <w:r>
      <w:rPr>
        <w:rFonts w:ascii="Meiryo" w:cs="Meiryo" w:eastAsia="Meiryo" w:hAnsi="Meiryo"/>
        <w:color w:val="5B6B78"/>
        <w:sz w:val="16"/>
        <w:szCs w:val="16"/>
      </w:rPr>
      <w:t xml:space="preserve">	確認テスト 解答・解説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9A7325"/>
      </w:rPr>
    </w:lvl>
    <w:lvl w:ilvl="1" w15:tentative="1">
      <w:start w:val="1"/>
      <w:numFmt w:val="bullet"/>
      <w:lvlText w:val="–"/>
      <w:lvlJc w:val="left"/>
      <w:pPr>
        <w:ind w:left="880" w:hanging="26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bullet"/>
      <w:lvlText w:val="□"/>
      <w:lvlJc w:val="left"/>
      <w:pPr>
        <w:ind w:left="460" w:hanging="300"/>
      </w:pPr>
      <w:rPr>
        <w:color w:val="1631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pPr>
    <w:rPr>
      <w:rFonts w:ascii="Meiryo" w:cs="Meiryo" w:eastAsia="Meiryo" w:hAnsi="Meiryo"/>
      <w:b/>
      <w:bCs/>
      <w:color w:val="16314F"/>
      <w:sz w:val="40"/>
      <w:szCs w:val="40"/>
    </w:rPr>
  </w:style>
  <w:style w:type="paragraph" w:styleId="Subtitle">
    <w:name w:val="Subtitle"/>
    <w:basedOn w:val="Normal"/>
    <w:next w:val="Normal"/>
    <w:pPr>
      <w:spacing w:after="200" w:before="0"/>
    </w:pPr>
    <w:rPr>
      <w:rFonts w:ascii="Meiryo" w:cs="Meiryo" w:eastAsia="Meiryo" w:hAnsi="Meiryo"/>
      <w:b/>
      <w:bCs/>
      <w:color w:val="9A7325"/>
      <w:sz w:val="24"/>
      <w:szCs w:val="24"/>
    </w:rPr>
  </w:style>
  <w:style w:type="paragraph" w:styleId="Heading1">
    <w:name w:val="Heading 1"/>
    <w:basedOn w:val="Normal"/>
    <w:next w:val="Normal"/>
    <w:qFormat/>
    <w:pPr>
      <w:pBdr>
        <w:bottom w:val="single" w:color="9A7325" w:sz="14" w:space="6"/>
      </w:pBdr>
      <w:spacing w:after="140" w:before="300"/>
      <w:outlineLvl w:val="0"/>
    </w:pPr>
    <w:rPr>
      <w:rFonts w:ascii="Meiryo" w:cs="Meiryo" w:eastAsia="Meiryo" w:hAnsi="Meiryo"/>
      <w:b/>
      <w:bCs/>
      <w:color w:val="16314F"/>
      <w:sz w:val="28"/>
      <w:szCs w:val="28"/>
    </w:rPr>
  </w:style>
  <w:style w:type="paragraph" w:styleId="Heading2">
    <w:name w:val="Heading 2"/>
    <w:basedOn w:val="Normal"/>
    <w:next w:val="Normal"/>
    <w:qFormat/>
    <w:pPr>
      <w:spacing w:after="90" w:before="220"/>
      <w:outlineLvl w:val="1"/>
    </w:pPr>
    <w:rPr>
      <w:rFonts w:ascii="Meiryo" w:cs="Meiryo" w:eastAsia="Meiryo" w:hAnsi="Meiryo"/>
      <w:b/>
      <w:bCs/>
      <w:color w:val="243B53"/>
      <w:sz w:val="23"/>
      <w:szCs w:val="23"/>
    </w:rPr>
  </w:style>
  <w:style w:type="paragraph" w:styleId="Heading3">
    <w:name w:val="Heading 3"/>
    <w:basedOn w:val="Normal"/>
    <w:next w:val="Normal"/>
    <w:qFormat/>
    <w:pPr>
      <w:spacing w:after="70" w:before="160"/>
      <w:outlineLvl w:val="2"/>
    </w:pPr>
    <w:rPr>
      <w:rFonts w:ascii="Meiryo" w:cs="Meiryo" w:eastAsia="Meiryo" w:hAnsi="Meiryo"/>
      <w:b/>
      <w:bCs/>
      <w:color w:val="1F6E69"/>
      <w:sz w:val="21"/>
      <w:szCs w:val="21"/>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2026-06-23T20:53:32.792Z</dcterms:created>
  <dcterms:modified xsi:type="dcterms:W3CDTF">2026-06-23T20:53:32.792Z</dcterms:modified>
</cp:coreProperties>
</file>

<file path=docProps/custom.xml><?xml version="1.0" encoding="utf-8"?>
<Properties xmlns="http://schemas.openxmlformats.org/officeDocument/2006/custom-properties" xmlns:vt="http://schemas.openxmlformats.org/officeDocument/2006/docPropsVTypes"/>
</file>