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Meiryo" w:cs="Meiryo" w:eastAsia="Meiryo" w:hAnsi="Meiryo"/>
          <w:b/>
          <w:bCs/>
          <w:color w:val="9A7325"/>
          <w:sz w:val="18"/>
          <w:szCs w:val="18"/>
        </w:rPr>
        <w:t xml:space="preserve">インサイダー取引防止研修（第20回・最終回）｜研修実施ガイド</w:t>
      </w:r>
    </w:p>
    <w:p>
      <w:pPr>
        <w:pStyle w:val="Title"/>
      </w:pPr>
      <w:r>
        <w:rPr>
          <w:rFonts w:ascii="Meiryo" w:cs="Meiryo" w:eastAsia="Meiryo" w:hAnsi="Meiryo"/>
        </w:rPr>
        <w:t xml:space="preserve">インサイダー取引防止研修 実施ガイド</w:t>
      </w:r>
    </w:p>
    <w:p>
      <w:pPr>
        <w:pStyle w:val="Subtitle"/>
      </w:pPr>
      <w:r>
        <w:rPr>
          <w:rFonts w:ascii="Meiryo" w:cs="Meiryo" w:eastAsia="Meiryo" w:hAnsi="Meiryo"/>
        </w:rPr>
        <w:t xml:space="preserve">企画・運営担当者のための準備・運用・自社化の手引き</w:t>
      </w:r>
    </w:p>
    <w:p>
      <w:pPr>
        <w:spacing w:after="40"/>
      </w:pPr>
      <w:r>
        <w:rPr>
          <w:rFonts w:ascii="Meiryo" w:cs="Meiryo" w:eastAsia="Meiryo" w:hAnsi="Meiryo"/>
          <w:color w:val="5B6B78"/>
          <w:sz w:val="19"/>
          <w:szCs w:val="19"/>
        </w:rPr>
        <w:t xml:space="preserve">対象：人事・総務・法務・コンプライアンス・研修事務局ほか</w:t>
      </w:r>
    </w:p>
    <w:p>
      <w:pPr>
        <w:pBdr>
          <w:bottom w:val="single" w:color="C9D2DA" w:sz="8" w:space="6"/>
        </w:pBdr>
        <w:spacing w:after="16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法令・制度基準日：2026年6月18日</w:t>
      </w:r>
    </w:p>
    <w:tbl>
      <w:tblPr>
        <w:tblW w:type="dxa" w:w="9746"/>
        <w:tblBorders>
          <w:top w:val="single" w:color="B42318" w:sz="4"/>
          <w:left w:val="single" w:color="B42318" w:sz="4"/>
          <w:bottom w:val="single" w:color="B42318" w:sz="4"/>
          <w:right w:val="single" w:color="B42318" w:sz="4"/>
          <w:insideH w:val="single" w:color="auto" w:sz="4"/>
          <w:insideV w:val="single" w:color="auto" w:sz="4"/>
        </w:tblBorders>
      </w:tblPr>
      <w:tblGrid>
        <w:gridCol w:w="9746"/>
      </w:tblGrid>
      <w:tr>
        <w:tc>
          <w:tcPr>
            <w:tcW w:type="dxa" w:w="9746"/>
            <w:shd w:fill="FBEDEC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このガイドの前提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56"/>
            </w:pPr>
            <w:r>
              <w:rPr>
                <w:rFonts w:ascii="Meiryo" w:cs="Meiryo" w:eastAsia="Meiryo" w:hAnsi="Meiryo"/>
              </w:rPr>
              <w:t xml:space="preserve">本研修資料は、自社ルールの補充を前提とした汎用ひな形です。そのまま使うのではなく、自社の規程・窓口・事例に合わせて調整してください。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56"/>
            </w:pPr>
            <w:r>
              <w:rPr>
                <w:rFonts w:ascii="Meiryo" w:cs="Meiryo" w:eastAsia="Meiryo" w:hAnsi="Meiryo"/>
                <w:color w:val="B42318"/>
              </w:rPr>
              <w:t xml:space="preserve">インサイダー取引該当性・売買可否・情報伝達/取引推奨該当性を自動判定する資料ではありません。最終判断は自社規程と担当部門・必要に応じ専門家によります。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 w:line="256"/>
            </w:pPr>
            <w:r>
              <w:rPr>
                <w:rFonts w:ascii="Meiryo" w:cs="Meiryo" w:eastAsia="Meiryo" w:hAnsi="Meiryo"/>
                <w:color w:val="B42318"/>
              </w:rPr>
              <w:t xml:space="preserve">本研修だけでインサイダー取引防止体制が完成するわけではありません。</w:t>
            </w:r>
          </w:p>
        </w:tc>
      </w:tr>
    </w:tbl>
    <w:p>
      <w:pPr>
        <w:spacing w:after="100"/>
      </w:pPr>
      <w:r>
        <w:rPr>
          <w:rFonts w:ascii="Meiryo" w:cs="Meiryo" w:eastAsia="Meiryo" w:hAnsi="Meiryo"/>
        </w:rPr>
        <w:t xml:space="preserve"/>
      </w:r>
    </w:p>
    <w:p>
      <w:pPr>
        <w:pStyle w:val="Heading1"/>
      </w:pPr>
      <w:r>
        <w:rPr>
          <w:rFonts w:ascii="Meiryo" w:cs="Meiryo" w:eastAsia="Meiryo" w:hAnsi="Meiryo"/>
        </w:rPr>
        <w:t xml:space="preserve">1．研修の目的・対象・所要時間</w:t>
      </w:r>
    </w:p>
    <w:p>
      <w:pPr>
        <w:pStyle w:val="Heading3"/>
      </w:pPr>
      <w:r>
        <w:rPr>
          <w:rFonts w:ascii="Meiryo" w:cs="Meiryo" w:eastAsia="Meiryo" w:hAnsi="Meiryo"/>
        </w:rPr>
        <w:t xml:space="preserve">目的</w:t>
      </w:r>
    </w:p>
    <w:p>
      <w:pPr>
        <w:spacing w:after="80" w:line="264"/>
      </w:pPr>
      <w:r>
        <w:rPr>
          <w:rFonts w:ascii="Meiryo" w:cs="Meiryo" w:eastAsia="Meiryo" w:hAnsi="Meiryo"/>
        </w:rPr>
        <w:t xml:space="preserve">未公表の重要事実を知ったときに、売買・伝達・推奨をせず、記録し、相談・報告する行動を全社に定着させること。社員の投資を一律に禁止するものではありません。</w:t>
      </w:r>
    </w:p>
    <w:p>
      <w:pPr>
        <w:pStyle w:val="Heading3"/>
      </w:pPr>
      <w:r>
        <w:rPr>
          <w:rFonts w:ascii="Meiryo" w:cs="Meiryo" w:eastAsia="Meiryo" w:hAnsi="Meiryo"/>
        </w:rPr>
        <w:t xml:space="preserve">主な対象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全社員・管理職・役員、上場会社・上場会社グループの役職員。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経営企画・IR・経理・財務・法務・総務・コンプライアンス、M&amp;A・投資・事業開発・アライアンス担当。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営業・購買・調達・取引先管理、広報・PR・広告・制作・印刷・Web・情報システム、人事・秘書・役員室・グループ会社管理担当。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決算・業績修正・重要契約・訴訟・不祥事・事故・サイバー攻撃等の情報に接し得る社員。必要に応じ派遣・委託・顧問・外部専門家・グループ会社担当。</w:t>
      </w:r>
    </w:p>
    <w:p>
      <w:pPr>
        <w:pStyle w:val="Heading3"/>
      </w:pPr>
      <w:r>
        <w:rPr>
          <w:rFonts w:ascii="Meiryo" w:cs="Meiryo" w:eastAsia="Meiryo" w:hAnsi="Meiryo"/>
        </w:rPr>
        <w:t xml:space="preserve">所要時間</w:t>
      </w:r>
    </w:p>
    <w:p>
      <w:pPr>
        <w:spacing w:after="80" w:line="264"/>
      </w:pPr>
      <w:r>
        <w:rPr>
          <w:rFonts w:ascii="Meiryo" w:cs="Meiryo" w:eastAsia="Meiryo" w:hAnsi="Meiryo"/>
        </w:rPr>
        <w:t xml:space="preserve">標準45〜55分。ケース討議や未公表情報接触時チェックシート演習を加える場合は70〜80分（講師台本末尾の拡張方法を参照）。</w:t>
      </w:r>
    </w:p>
    <w:p>
      <w:pPr>
        <w:pStyle w:val="Heading1"/>
      </w:pPr>
      <w:r>
        <w:rPr>
          <w:rFonts w:ascii="Meiryo" w:cs="Meiryo" w:eastAsia="Meiryo" w:hAnsi="Meiryo"/>
        </w:rPr>
        <w:t xml:space="preserve">2．他回との役割分担</w:t>
      </w:r>
    </w:p>
    <w:tbl>
      <w:tblPr>
        <w:tblW w:type="dxa" w:w="9746"/>
        <w:tblBorders>
          <w:top w:val="single" w:color="C9D2DA" w:sz="4"/>
          <w:left w:val="single" w:color="C9D2DA" w:sz="4"/>
          <w:bottom w:val="single" w:color="C9D2DA" w:sz="4"/>
          <w:right w:val="single" w:color="C9D2DA" w:sz="4"/>
          <w:insideH w:val="single" w:color="C9D2DA" w:sz="4"/>
          <w:insideV w:val="single" w:color="C9D2DA" w:sz="4"/>
        </w:tblBorders>
      </w:tblPr>
      <w:tblGrid>
        <w:gridCol w:w="1700"/>
        <w:gridCol w:w="3400"/>
        <w:gridCol w:w="4646"/>
      </w:tblGrid>
      <w:tr>
        <w:trPr>
          <w:tblHeader/>
        </w:trPr>
        <w:tc>
          <w:tcPr>
            <w:tcW w:type="dxa" w:w="1700"/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0"/>
                <w:szCs w:val="20"/>
              </w:rPr>
              <w:t xml:space="preserve">回</w:t>
            </w:r>
          </w:p>
        </w:tc>
        <w:tc>
          <w:tcPr>
            <w:tcW w:type="dxa" w:w="3400"/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0"/>
                <w:szCs w:val="20"/>
              </w:rPr>
              <w:t xml:space="preserve">中心テーマ</w:t>
            </w:r>
          </w:p>
        </w:tc>
        <w:tc>
          <w:tcPr>
            <w:tcW w:type="dxa" w:w="4646"/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0"/>
                <w:szCs w:val="20"/>
              </w:rPr>
              <w:t xml:space="preserve">本話との違い</w:t>
            </w:r>
          </w:p>
        </w:tc>
      </w:tr>
      <w:tr>
        <w:tc>
          <w:tcPr>
            <w:tcW w:type="dxa" w:w="17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第13話</w:t>
            </w:r>
          </w:p>
        </w:tc>
        <w:tc>
          <w:tcPr>
            <w:tcW w:type="dxa" w:w="34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営業秘密・機密情報管理</w:t>
            </w:r>
          </w:p>
        </w:tc>
        <w:tc>
          <w:tcPr>
            <w:tcW w:type="dxa" w:w="464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情報の持出し・漏えい・秘密管理が中心。本話は、その情報を使った売買・伝達・推奨が中心。</w:t>
            </w:r>
          </w:p>
        </w:tc>
      </w:tr>
      <w:tr>
        <w:tc>
          <w:tcPr>
            <w:tcW w:type="dxa" w:w="17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第15話</w:t>
            </w:r>
          </w:p>
        </w:tc>
        <w:tc>
          <w:tcPr>
            <w:tcW w:type="dxa" w:w="34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利益相反</w:t>
            </w:r>
          </w:p>
        </w:tc>
        <w:tc>
          <w:tcPr>
            <w:tcW w:type="dxa" w:w="464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副業・親族会社・取引先との利害が中心。本話は、未公表情報に基づく売買・家族名義・伝達が中心。</w:t>
            </w:r>
          </w:p>
        </w:tc>
      </w:tr>
      <w:tr>
        <w:tc>
          <w:tcPr>
            <w:tcW w:type="dxa" w:w="17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第19話</w:t>
            </w:r>
          </w:p>
        </w:tc>
        <w:tc>
          <w:tcPr>
            <w:tcW w:type="dxa" w:w="34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契約書（締結権限・押印・電子契約）</w:t>
            </w:r>
          </w:p>
        </w:tc>
        <w:tc>
          <w:tcPr>
            <w:tcW w:type="dxa" w:w="464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契約手続が中心。本話は、重要契約・M&amp;A等の情報が重要事実・公開買付け等事実になり得る点が中心。</w:t>
            </w:r>
          </w:p>
        </w:tc>
      </w:tr>
      <w:tr>
        <w:tc>
          <w:tcPr>
            <w:tcW w:type="dxa" w:w="17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第11/12話</w:t>
            </w:r>
          </w:p>
        </w:tc>
        <w:tc>
          <w:tcPr>
            <w:tcW w:type="dxa" w:w="3400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生成AI／SNS利用</w:t>
            </w:r>
          </w:p>
        </w:tc>
        <w:tc>
          <w:tcPr>
            <w:tcW w:type="dxa" w:w="464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本話は、未公表の重要情報・法人関係情報をAI・SNS・チャットへ出さない点に絞って接続。</w:t>
            </w:r>
          </w:p>
        </w:tc>
      </w:tr>
    </w:tbl>
    <w:p>
      <w:pPr>
        <w:pStyle w:val="Heading1"/>
      </w:pPr>
      <w:r>
        <w:rPr>
          <w:rFonts w:ascii="Meiryo" w:cs="Meiryo" w:eastAsia="Meiryo" w:hAnsi="Meiryo"/>
        </w:rPr>
        <w:t xml:space="preserve">3．事前準備</w:t>
      </w:r>
    </w:p>
    <w:p>
      <w:pPr>
        <w:pStyle w:val="ListParagraph"/>
        <w:numPr>
          <w:ilvl w:val="0"/>
          <w:numId w:val="3"/>
        </w:numPr>
        <w:spacing w:after="60" w:line="256"/>
      </w:pPr>
      <w:r>
        <w:rPr>
          <w:rFonts w:ascii="Meiryo" w:cs="Meiryo" w:eastAsia="Meiryo" w:hAnsi="Meiryo"/>
        </w:rPr>
        <w:t xml:space="preserve">別添スライド（36枚）・講師台本・確認テスト・解答解説・ハンドブック・チェックリスト・初動対応ツールキット・ケースワークブックを確認する。</w:t>
      </w:r>
    </w:p>
    <w:p>
      <w:pPr>
        <w:pStyle w:val="ListParagraph"/>
        <w:numPr>
          <w:ilvl w:val="0"/>
          <w:numId w:val="3"/>
        </w:numPr>
        <w:spacing w:after="60" w:line="256"/>
      </w:pPr>
      <w:r>
        <w:rPr>
          <w:rFonts w:ascii="Meiryo" w:cs="Meiryo" w:eastAsia="Meiryo" w:hAnsi="Meiryo"/>
        </w:rPr>
        <w:t xml:space="preserve">自社の規程・窓口・事例に合わせて、スライドとケースを調整する（次項参照）。</w:t>
      </w:r>
    </w:p>
    <w:p>
      <w:pPr>
        <w:pStyle w:val="ListParagraph"/>
        <w:numPr>
          <w:ilvl w:val="0"/>
          <w:numId w:val="3"/>
        </w:numPr>
        <w:spacing w:after="60" w:line="256"/>
      </w:pPr>
      <w:r>
        <w:rPr>
          <w:rFonts w:ascii="Meiryo" w:cs="Meiryo" w:eastAsia="Meiryo" w:hAnsi="Meiryo"/>
        </w:rPr>
        <w:t xml:space="preserve">講師が「言ってはいけない説明」（第7項）を事前に共有する。</w:t>
      </w:r>
    </w:p>
    <w:p>
      <w:pPr>
        <w:pStyle w:val="ListParagraph"/>
        <w:numPr>
          <w:ilvl w:val="0"/>
          <w:numId w:val="3"/>
        </w:numPr>
        <w:spacing w:after="60" w:line="256"/>
      </w:pPr>
      <w:r>
        <w:rPr>
          <w:rFonts w:ascii="Meiryo" w:cs="Meiryo" w:eastAsia="Meiryo" w:hAnsi="Meiryo"/>
        </w:rPr>
        <w:t xml:space="preserve">確認テストの実施方法（その場記入／オンライン）と、解答のフィードバック方法を決める。</w:t>
      </w:r>
    </w:p>
    <w:p>
      <w:pPr>
        <w:pStyle w:val="Heading1"/>
      </w:pPr>
      <w:r>
        <w:rPr>
          <w:rFonts w:ascii="Meiryo" w:cs="Meiryo" w:eastAsia="Meiryo" w:hAnsi="Meiryo"/>
        </w:rPr>
        <w:t xml:space="preserve">4．自社規程・運用との整合確認</w:t>
      </w:r>
    </w:p>
    <w:p>
      <w:pPr>
        <w:spacing w:after="70" w:line="264"/>
      </w:pPr>
      <w:r>
        <w:rPr>
          <w:rFonts w:ascii="Meiryo" w:cs="Meiryo" w:eastAsia="Meiryo" w:hAnsi="Meiryo"/>
        </w:rPr>
        <w:t xml:space="preserve">次の規程・運用を確認し、研修内容と齟齬がないか点検してください（自社に存在するもののみ）。</w:t>
      </w:r>
    </w:p>
    <w:p>
      <w:pPr>
        <w:pStyle w:val="ListParagraph"/>
        <w:numPr>
          <w:ilvl w:val="0"/>
          <w:numId w:val="4"/>
        </w:numPr>
        <w:spacing w:after="70" w:line="268"/>
      </w:pPr>
      <w:r>
        <w:rPr>
          <w:rFonts w:ascii="Meiryo" w:cs="Meiryo" w:eastAsia="Meiryo" w:hAnsi="Meiryo"/>
        </w:rPr>
        <w:t xml:space="preserve">インサイダー取引防止規程</w:t>
      </w:r>
    </w:p>
    <w:p>
      <w:pPr>
        <w:pStyle w:val="ListParagraph"/>
        <w:numPr>
          <w:ilvl w:val="0"/>
          <w:numId w:val="4"/>
        </w:numPr>
        <w:spacing w:after="70" w:line="268"/>
      </w:pPr>
      <w:r>
        <w:rPr>
          <w:rFonts w:ascii="Meiryo" w:cs="Meiryo" w:eastAsia="Meiryo" w:hAnsi="Meiryo"/>
        </w:rPr>
        <w:t xml:space="preserve">役職員株式売買管理規程</w:t>
      </w:r>
    </w:p>
    <w:p>
      <w:pPr>
        <w:pStyle w:val="ListParagraph"/>
        <w:numPr>
          <w:ilvl w:val="0"/>
          <w:numId w:val="4"/>
        </w:numPr>
        <w:spacing w:after="70" w:line="268"/>
      </w:pPr>
      <w:r>
        <w:rPr>
          <w:rFonts w:ascii="Meiryo" w:cs="Meiryo" w:eastAsia="Meiryo" w:hAnsi="Meiryo"/>
        </w:rPr>
        <w:t xml:space="preserve">自社株売買の事前届出・承認フロー</w:t>
      </w:r>
    </w:p>
    <w:p>
      <w:pPr>
        <w:pStyle w:val="ListParagraph"/>
        <w:numPr>
          <w:ilvl w:val="0"/>
          <w:numId w:val="4"/>
        </w:numPr>
        <w:spacing w:after="70" w:line="268"/>
      </w:pPr>
      <w:r>
        <w:rPr>
          <w:rFonts w:ascii="Meiryo" w:cs="Meiryo" w:eastAsia="Meiryo" w:hAnsi="Meiryo"/>
        </w:rPr>
        <w:t xml:space="preserve">ブラックアウト期間の運用</w:t>
      </w:r>
    </w:p>
    <w:p>
      <w:pPr>
        <w:pStyle w:val="ListParagraph"/>
        <w:numPr>
          <w:ilvl w:val="0"/>
          <w:numId w:val="4"/>
        </w:numPr>
        <w:spacing w:after="70" w:line="268"/>
      </w:pPr>
      <w:r>
        <w:rPr>
          <w:rFonts w:ascii="Meiryo" w:cs="Meiryo" w:eastAsia="Meiryo" w:hAnsi="Meiryo"/>
        </w:rPr>
        <w:t xml:space="preserve">持株会運用ルール</w:t>
      </w:r>
    </w:p>
    <w:p>
      <w:pPr>
        <w:pStyle w:val="ListParagraph"/>
        <w:numPr>
          <w:ilvl w:val="0"/>
          <w:numId w:val="4"/>
        </w:numPr>
        <w:spacing w:after="70" w:line="268"/>
      </w:pPr>
      <w:r>
        <w:rPr>
          <w:rFonts w:ascii="Meiryo" w:cs="Meiryo" w:eastAsia="Meiryo" w:hAnsi="Meiryo"/>
        </w:rPr>
        <w:t xml:space="preserve">ストックオプション・役員報酬株式の管理</w:t>
      </w:r>
    </w:p>
    <w:p>
      <w:pPr>
        <w:pStyle w:val="ListParagraph"/>
        <w:numPr>
          <w:ilvl w:val="0"/>
          <w:numId w:val="4"/>
        </w:numPr>
        <w:spacing w:after="70" w:line="268"/>
      </w:pPr>
      <w:r>
        <w:rPr>
          <w:rFonts w:ascii="Meiryo" w:cs="Meiryo" w:eastAsia="Meiryo" w:hAnsi="Meiryo"/>
        </w:rPr>
        <w:t xml:space="preserve">知る前契約・計画の管理</w:t>
      </w:r>
    </w:p>
    <w:p>
      <w:pPr>
        <w:pStyle w:val="ListParagraph"/>
        <w:numPr>
          <w:ilvl w:val="0"/>
          <w:numId w:val="4"/>
        </w:numPr>
        <w:spacing w:after="70" w:line="268"/>
      </w:pPr>
      <w:r>
        <w:rPr>
          <w:rFonts w:ascii="Meiryo" w:cs="Meiryo" w:eastAsia="Meiryo" w:hAnsi="Meiryo"/>
        </w:rPr>
        <w:t xml:space="preserve">法人関係情報管理規程</w:t>
      </w:r>
    </w:p>
    <w:p>
      <w:pPr>
        <w:pStyle w:val="ListParagraph"/>
        <w:numPr>
          <w:ilvl w:val="0"/>
          <w:numId w:val="4"/>
        </w:numPr>
        <w:spacing w:after="70" w:line="268"/>
      </w:pPr>
      <w:r>
        <w:rPr>
          <w:rFonts w:ascii="Meiryo" w:cs="Meiryo" w:eastAsia="Meiryo" w:hAnsi="Meiryo"/>
        </w:rPr>
        <w:t xml:space="preserve">重要事実・適時開示の管理フロー</w:t>
      </w:r>
    </w:p>
    <w:p>
      <w:pPr>
        <w:pStyle w:val="ListParagraph"/>
        <w:numPr>
          <w:ilvl w:val="0"/>
          <w:numId w:val="4"/>
        </w:numPr>
        <w:spacing w:after="70" w:line="268"/>
      </w:pPr>
      <w:r>
        <w:rPr>
          <w:rFonts w:ascii="Meiryo" w:cs="Meiryo" w:eastAsia="Meiryo" w:hAnsi="Meiryo"/>
        </w:rPr>
        <w:t xml:space="preserve">M&amp;A・業務提携・重要契約の情報管理</w:t>
      </w:r>
    </w:p>
    <w:p>
      <w:pPr>
        <w:pStyle w:val="ListParagraph"/>
        <w:numPr>
          <w:ilvl w:val="0"/>
          <w:numId w:val="4"/>
        </w:numPr>
        <w:spacing w:after="70" w:line="268"/>
      </w:pPr>
      <w:r>
        <w:rPr>
          <w:rFonts w:ascii="Meiryo" w:cs="Meiryo" w:eastAsia="Meiryo" w:hAnsi="Meiryo"/>
        </w:rPr>
        <w:t xml:space="preserve">公開買付け情報の管理</w:t>
      </w:r>
    </w:p>
    <w:p>
      <w:pPr>
        <w:pStyle w:val="ListParagraph"/>
        <w:numPr>
          <w:ilvl w:val="0"/>
          <w:numId w:val="4"/>
        </w:numPr>
        <w:spacing w:after="70" w:line="268"/>
      </w:pPr>
      <w:r>
        <w:rPr>
          <w:rFonts w:ascii="Meiryo" w:cs="Meiryo" w:eastAsia="Meiryo" w:hAnsi="Meiryo"/>
        </w:rPr>
        <w:t xml:space="preserve">情報伝達・取引推奨防止ルール</w:t>
      </w:r>
    </w:p>
    <w:p>
      <w:pPr>
        <w:pStyle w:val="ListParagraph"/>
        <w:numPr>
          <w:ilvl w:val="0"/>
          <w:numId w:val="4"/>
        </w:numPr>
        <w:spacing w:after="70" w:line="268"/>
      </w:pPr>
      <w:r>
        <w:rPr>
          <w:rFonts w:ascii="Meiryo" w:cs="Meiryo" w:eastAsia="Meiryo" w:hAnsi="Meiryo"/>
        </w:rPr>
        <w:t xml:space="preserve">SNS・チャット・生成AI利用ルール</w:t>
      </w:r>
    </w:p>
    <w:p>
      <w:pPr>
        <w:pStyle w:val="ListParagraph"/>
        <w:numPr>
          <w:ilvl w:val="0"/>
          <w:numId w:val="4"/>
        </w:numPr>
        <w:spacing w:after="70" w:line="268"/>
      </w:pPr>
      <w:r>
        <w:rPr>
          <w:rFonts w:ascii="Meiryo" w:cs="Meiryo" w:eastAsia="Meiryo" w:hAnsi="Meiryo"/>
        </w:rPr>
        <w:t xml:space="preserve">秘密情報・個人情報・情報セキュリティルール</w:t>
      </w:r>
    </w:p>
    <w:p>
      <w:pPr>
        <w:pStyle w:val="ListParagraph"/>
        <w:numPr>
          <w:ilvl w:val="0"/>
          <w:numId w:val="4"/>
        </w:numPr>
        <w:spacing w:after="70" w:line="268"/>
      </w:pPr>
      <w:r>
        <w:rPr>
          <w:rFonts w:ascii="Meiryo" w:cs="Meiryo" w:eastAsia="Meiryo" w:hAnsi="Meiryo"/>
        </w:rPr>
        <w:t xml:space="preserve">文書保存・証拠保全ルール</w:t>
      </w:r>
    </w:p>
    <w:p>
      <w:pPr>
        <w:pStyle w:val="ListParagraph"/>
        <w:numPr>
          <w:ilvl w:val="0"/>
          <w:numId w:val="4"/>
        </w:numPr>
        <w:spacing w:after="70" w:line="268"/>
      </w:pPr>
      <w:r>
        <w:rPr>
          <w:rFonts w:ascii="Meiryo" w:cs="Meiryo" w:eastAsia="Meiryo" w:hAnsi="Meiryo"/>
        </w:rPr>
        <w:t xml:space="preserve">内部通報規程</w:t>
      </w:r>
    </w:p>
    <w:p>
      <w:pPr>
        <w:pStyle w:val="Heading1"/>
      </w:pPr>
      <w:r>
        <w:rPr>
          <w:rFonts w:ascii="Meiryo" w:cs="Meiryo" w:eastAsia="Meiryo" w:hAnsi="Meiryo"/>
        </w:rPr>
        <w:t xml:space="preserve">5．エスカレーション・相談基準</w:t>
      </w:r>
    </w:p>
    <w:p>
      <w:pPr>
        <w:spacing w:after="80" w:line="264"/>
      </w:pPr>
      <w:r>
        <w:rPr>
          <w:rFonts w:ascii="Meiryo" w:cs="Meiryo" w:eastAsia="Meiryo" w:hAnsi="Meiryo"/>
        </w:rPr>
        <w:t xml:space="preserve">次の場合は、現場で判断せず、定められたルートでエスカレーションしてください。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証券取引等監視委員会・金融庁・取引所からの照会・調査等があった場合。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インサイダー取引やその疑い、情報伝達・取引推奨の疑いが発見された場合。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法人関係情報の漏えい・共有範囲逸脱が疑われる場合。</w:t>
      </w:r>
    </w:p>
    <w:p>
      <w:pPr>
        <w:spacing w:after="80" w:before="50" w:line="264"/>
      </w:pPr>
      <w:r>
        <w:rPr>
          <w:rFonts w:ascii="Meiryo" w:cs="Meiryo" w:eastAsia="Meiryo" w:hAnsi="Meiryo"/>
        </w:rPr>
        <w:t xml:space="preserve">法務・総務・IR・経理・財務・コンプライアンス・情報システム・経営層への相談基準を、自社の実態に合わせて明確にしてください。</w:t>
      </w:r>
    </w:p>
    <w:tbl>
      <w:tblPr>
        <w:tblW w:type="dxa" w:w="9746"/>
        <w:tblBorders>
          <w:top w:val="single" w:color="B42318" w:sz="4"/>
          <w:left w:val="single" w:color="B42318" w:sz="4"/>
          <w:bottom w:val="single" w:color="B42318" w:sz="4"/>
          <w:right w:val="single" w:color="B42318" w:sz="4"/>
          <w:insideH w:val="single" w:color="auto" w:sz="4"/>
          <w:insideV w:val="single" w:color="auto" w:sz="4"/>
        </w:tblBorders>
      </w:tblPr>
      <w:tblGrid>
        <w:gridCol w:w="9746"/>
      </w:tblGrid>
      <w:tr>
        <w:tc>
          <w:tcPr>
            <w:tcW w:type="dxa" w:w="9746"/>
            <w:shd w:fill="FBEDEC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研修中に実際の相談が出た場合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color w:val="B42318"/>
              </w:rPr>
              <w:t xml:space="preserve">研修中に、実際のインサイダー取引やその疑いに関する相談が出た場合は、その場で結論を出さず、個別に担当部門へつないでください。全体の場で具体的な銘柄名・案件名を扱わないよう配慮します。</w:t>
            </w:r>
          </w:p>
        </w:tc>
      </w:tr>
    </w:tbl>
    <w:p>
      <w:pPr>
        <w:pStyle w:val="Heading1"/>
      </w:pPr>
      <w:r>
        <w:rPr>
          <w:rFonts w:ascii="Meiryo" w:cs="Meiryo" w:eastAsia="Meiryo" w:hAnsi="Meiryo"/>
        </w:rPr>
        <w:t xml:space="preserve">6．ケースの自社化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自社の業種・主要取引先業界・よく使うチャットツール・実際の承認フローに合わせてケースを差し替えると効果的。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差替えの際も、実在企業名・銘柄名・取引先名・個人名をそのまま使わない。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差し替えても、「重要事実該当性・売買可否を断定しない」「最終判断は担当部門」という姿勢は維持する。</w:t>
      </w:r>
    </w:p>
    <w:p>
      <w:pPr>
        <w:pStyle w:val="Heading1"/>
      </w:pPr>
      <w:r>
        <w:rPr>
          <w:rFonts w:ascii="Meiryo" w:cs="Meiryo" w:eastAsia="Meiryo" w:hAnsi="Meiryo"/>
        </w:rPr>
        <w:t xml:space="preserve">7．講師が言ってはいけない説明</w:t>
      </w:r>
    </w:p>
    <w:p>
      <w:pPr>
        <w:spacing w:after="70" w:line="264"/>
      </w:pPr>
      <w:r>
        <w:rPr>
          <w:rFonts w:ascii="Meiryo" w:cs="Meiryo" w:eastAsia="Meiryo" w:hAnsi="Meiryo"/>
        </w:rPr>
        <w:t xml:space="preserve">次のような説明は誤りです。研修中に用いないでください。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  <w:color w:val="B42318"/>
        </w:rPr>
        <w:t xml:space="preserve">インサイダー取引は役員だけの問題である。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  <w:color w:val="B42318"/>
        </w:rPr>
        <w:t xml:space="preserve">対象は自社株だけである。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  <w:color w:val="B42318"/>
        </w:rPr>
        <w:t xml:space="preserve">家族名義・知人名義なら問題ない。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  <w:color w:val="B42318"/>
        </w:rPr>
        <w:t xml:space="preserve">少額・1回・利益なしなら問題ない。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  <w:color w:val="B42318"/>
        </w:rPr>
        <w:t xml:space="preserve">未公表情報を伝えるだけ・「買え」と言わなければ問題ない。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  <w:color w:val="B42318"/>
        </w:rPr>
        <w:t xml:space="preserve">会社名をぼかせばSNS・投資コミュニティで話してよい。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  <w:color w:val="B42318"/>
        </w:rPr>
        <w:t xml:space="preserve">生成AIに未公表情報を入れても外部公表ではないから問題ない。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  <w:color w:val="B42318"/>
        </w:rPr>
        <w:t xml:space="preserve">持株会・ストックオプション・知る前契約/計画なら常に安全。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  <w:color w:val="B42318"/>
        </w:rPr>
        <w:t xml:space="preserve">公表されたかどうかをSNS・ニュースだけで現場判断してよい。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  <w:color w:val="B42318"/>
        </w:rPr>
        <w:t xml:space="preserve">情報受領者は処罰の対象にならない。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  <w:color w:val="B42318"/>
        </w:rPr>
        <w:t xml:space="preserve">重要事実該当性・公表該当性・売買可否・情報伝達/取引推奨該当性を現場やAIが最終判断してよい。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  <w:color w:val="B42318"/>
        </w:rPr>
        <w:t xml:space="preserve">この研修だけでインサイダー取引防止体制が完全に整う。</w:t>
      </w:r>
    </w:p>
    <w:p>
      <w:pPr>
        <w:pStyle w:val="Heading1"/>
      </w:pPr>
      <w:r>
        <w:rPr>
          <w:rFonts w:ascii="Meiryo" w:cs="Meiryo" w:eastAsia="Meiryo" w:hAnsi="Meiryo"/>
        </w:rPr>
        <w:t xml:space="preserve">8．受講記録・テスト・フォロー・版管理</w:t>
      </w:r>
    </w:p>
    <w:p>
      <w:pPr>
        <w:pStyle w:val="Heading3"/>
      </w:pPr>
      <w:r>
        <w:rPr>
          <w:rFonts w:ascii="Meiryo" w:cs="Meiryo" w:eastAsia="Meiryo" w:hAnsi="Meiryo"/>
        </w:rPr>
        <w:t xml:space="preserve">受講記録・確認テスト管理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受講者・受講日・確認テストの結果を記録する。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解答は受講者へフィードバックし、誤答の多い論点は補足する。</w:t>
      </w:r>
    </w:p>
    <w:p>
      <w:pPr>
        <w:pStyle w:val="Heading3"/>
      </w:pPr>
      <w:r>
        <w:rPr>
          <w:rFonts w:ascii="Meiryo" w:cs="Meiryo" w:eastAsia="Meiryo" w:hAnsi="Meiryo"/>
        </w:rPr>
        <w:t xml:space="preserve">欠席者フォロー・再研修の目安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欠席者には資料配付＋確認テストでフォローする。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規程改定・法改正・重大事案の発生時、また年1回程度を目安に再研修を検討する。</w:t>
      </w:r>
    </w:p>
    <w:p>
      <w:pPr>
        <w:pStyle w:val="Heading3"/>
      </w:pPr>
      <w:r>
        <w:rPr>
          <w:rFonts w:ascii="Meiryo" w:cs="Meiryo" w:eastAsia="Meiryo" w:hAnsi="Meiryo"/>
        </w:rPr>
        <w:t xml:space="preserve">資料の版管理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配付資料に版数・基準日を明記し、改定履歴を管理する。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自社化した資料は、原版と区別して保管する。</w:t>
      </w:r>
    </w:p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9．自社用カスタマイズチェックリスト</w:t>
      </w:r>
    </w:p>
    <w:p>
      <w:pPr>
        <w:spacing w:after="80" w:line="264"/>
      </w:pPr>
      <w:r>
        <w:rPr>
          <w:rFonts w:ascii="Meiryo" w:cs="Meiryo" w:eastAsia="Meiryo" w:hAnsi="Meiryo"/>
        </w:rPr>
        <w:t xml:space="preserve">公開・配付前に、次を確認してください。</w:t>
      </w:r>
    </w:p>
    <w:p>
      <w:pPr>
        <w:pStyle w:val="ListParagraph"/>
        <w:numPr>
          <w:ilvl w:val="0"/>
          <w:numId w:val="4"/>
        </w:numPr>
        <w:spacing w:after="70" w:line="268"/>
      </w:pPr>
      <w:r>
        <w:rPr>
          <w:rFonts w:ascii="Meiryo" w:cs="Meiryo" w:eastAsia="Meiryo" w:hAnsi="Meiryo"/>
        </w:rPr>
        <w:t xml:space="preserve">表紙に自社名・実施日・講師名を入れたか。</w:t>
      </w:r>
    </w:p>
    <w:p>
      <w:pPr>
        <w:pStyle w:val="ListParagraph"/>
        <w:numPr>
          <w:ilvl w:val="0"/>
          <w:numId w:val="4"/>
        </w:numPr>
        <w:spacing w:after="70" w:line="268"/>
      </w:pPr>
      <w:r>
        <w:rPr>
          <w:rFonts w:ascii="Meiryo" w:cs="Meiryo" w:eastAsia="Meiryo" w:hAnsi="Meiryo"/>
        </w:rPr>
        <w:t xml:space="preserve">スライド34（行動原則・自社相談先）に、自社の実際の相談窓口を記入したか。</w:t>
      </w:r>
    </w:p>
    <w:p>
      <w:pPr>
        <w:pStyle w:val="ListParagraph"/>
        <w:numPr>
          <w:ilvl w:val="0"/>
          <w:numId w:val="4"/>
        </w:numPr>
        <w:spacing w:after="70" w:line="268"/>
      </w:pPr>
      <w:r>
        <w:rPr>
          <w:rFonts w:ascii="Meiryo" w:cs="Meiryo" w:eastAsia="Meiryo" w:hAnsi="Meiryo"/>
        </w:rPr>
        <w:t xml:space="preserve">ハンドブック・チェックリスト・初動対応ツールキットの【要自社記入】窓口を埋めたか。</w:t>
      </w:r>
    </w:p>
    <w:p>
      <w:pPr>
        <w:pStyle w:val="ListParagraph"/>
        <w:numPr>
          <w:ilvl w:val="0"/>
          <w:numId w:val="4"/>
        </w:numPr>
        <w:spacing w:after="70" w:line="268"/>
      </w:pPr>
      <w:r>
        <w:rPr>
          <w:rFonts w:ascii="Meiryo" w:cs="Meiryo" w:eastAsia="Meiryo" w:hAnsi="Meiryo"/>
        </w:rPr>
        <w:t xml:space="preserve">自社の規程名（売買管理規程・情報管理規程・内部通報規程等）に置き換えたか。</w:t>
      </w:r>
    </w:p>
    <w:p>
      <w:pPr>
        <w:pStyle w:val="ListParagraph"/>
        <w:numPr>
          <w:ilvl w:val="0"/>
          <w:numId w:val="4"/>
        </w:numPr>
        <w:spacing w:after="70" w:line="268"/>
      </w:pPr>
      <w:r>
        <w:rPr>
          <w:rFonts w:ascii="Meiryo" w:cs="Meiryo" w:eastAsia="Meiryo" w:hAnsi="Meiryo"/>
        </w:rPr>
        <w:t xml:space="preserve">ブラックアウト期間・事前届出/承認フローを自社の運用に合わせたか。</w:t>
      </w:r>
    </w:p>
    <w:p>
      <w:pPr>
        <w:pStyle w:val="ListParagraph"/>
        <w:numPr>
          <w:ilvl w:val="0"/>
          <w:numId w:val="4"/>
        </w:numPr>
        <w:spacing w:after="70" w:line="268"/>
      </w:pPr>
      <w:r>
        <w:rPr>
          <w:rFonts w:ascii="Meiryo" w:cs="Meiryo" w:eastAsia="Meiryo" w:hAnsi="Meiryo"/>
        </w:rPr>
        <w:t xml:space="preserve">持株会・ストックオプション・知る前計画の自社の取扱いを反映したか。</w:t>
      </w:r>
    </w:p>
    <w:p>
      <w:pPr>
        <w:pStyle w:val="ListParagraph"/>
        <w:numPr>
          <w:ilvl w:val="0"/>
          <w:numId w:val="4"/>
        </w:numPr>
        <w:spacing w:after="70" w:line="268"/>
      </w:pPr>
      <w:r>
        <w:rPr>
          <w:rFonts w:ascii="Meiryo" w:cs="Meiryo" w:eastAsia="Meiryo" w:hAnsi="Meiryo"/>
        </w:rPr>
        <w:t xml:space="preserve">ケースを自社の業種・部門に合わせて調整したか（実在名は使わない）。</w:t>
      </w:r>
    </w:p>
    <w:p>
      <w:pPr>
        <w:pStyle w:val="ListParagraph"/>
        <w:numPr>
          <w:ilvl w:val="0"/>
          <w:numId w:val="4"/>
        </w:numPr>
        <w:spacing w:after="70" w:line="268"/>
      </w:pPr>
      <w:r>
        <w:rPr>
          <w:rFonts w:ascii="Meiryo" w:cs="Meiryo" w:eastAsia="Meiryo" w:hAnsi="Meiryo"/>
        </w:rPr>
        <w:t xml:space="preserve">確認テストの実施・採点・フィードバック方法を決めたか。</w:t>
      </w:r>
    </w:p>
    <w:p>
      <w:pPr>
        <w:pStyle w:val="ListParagraph"/>
        <w:numPr>
          <w:ilvl w:val="0"/>
          <w:numId w:val="4"/>
        </w:numPr>
        <w:spacing w:after="70" w:line="268"/>
      </w:pPr>
      <w:r>
        <w:rPr>
          <w:rFonts w:ascii="Meiryo" w:cs="Meiryo" w:eastAsia="Meiryo" w:hAnsi="Meiryo"/>
        </w:rPr>
        <w:t xml:space="preserve">「言ってはいけない説明」を講師と共有したか。</w:t>
      </w:r>
    </w:p>
    <w:p>
      <w:pPr>
        <w:pStyle w:val="ListParagraph"/>
        <w:numPr>
          <w:ilvl w:val="0"/>
          <w:numId w:val="4"/>
        </w:numPr>
        <w:spacing w:after="70" w:line="268"/>
      </w:pPr>
      <w:r>
        <w:rPr>
          <w:rFonts w:ascii="Meiryo" w:cs="Meiryo" w:eastAsia="Meiryo" w:hAnsi="Meiryo"/>
        </w:rPr>
        <w:t xml:space="preserve">資料に版数・基準日を明記したか。</w:t>
      </w:r>
    </w:p>
    <w:p>
      <w:pPr>
        <w:spacing w:after="80"/>
      </w:pPr>
      <w:r>
        <w:rPr>
          <w:rFonts w:ascii="Meiryo" w:cs="Meiryo" w:eastAsia="Meiryo" w:hAnsi="Meiryo"/>
        </w:rPr>
        <w:t xml:space="preserve"/>
      </w:r>
    </w:p>
    <w:tbl>
      <w:tblPr>
        <w:tblW w:type="dxa" w:w="9746"/>
        <w:tblBorders>
          <w:top w:val="single" w:color="16314F" w:sz="4"/>
          <w:left w:val="single" w:color="16314F" w:sz="4"/>
          <w:bottom w:val="single" w:color="16314F" w:sz="4"/>
          <w:right w:val="single" w:color="16314F" w:sz="4"/>
          <w:insideH w:val="single" w:color="auto" w:sz="4"/>
          <w:insideV w:val="single" w:color="auto" w:sz="4"/>
        </w:tblBorders>
      </w:tblPr>
      <w:tblGrid>
        <w:gridCol w:w="9746"/>
      </w:tblGrid>
      <w:tr>
        <w:tc>
          <w:tcPr>
            <w:tcW w:type="dxa" w:w="9746"/>
            <w:shd w:fill="EEF2F6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21"/>
                <w:szCs w:val="21"/>
              </w:rPr>
              <w:t xml:space="preserve">最後に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color w:val="16314F"/>
              </w:rPr>
              <w:t xml:space="preserve">研修のゴールは、テストの点数ではなく、「未公表で重要そうな情報を知ったら、売買・伝達・推奨をせず、消さず、すぐ相談・報告する」という行動が根づくことです。シリーズ最終回として、全20回で培った『迷ったら独断せず相談する』姿勢の総仕上げと位置づけてください。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134" w:right="1080" w:bottom="1134" w:left="1080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center" w:pos="4873"/>
        <w:tab w:val="right" w:pos="9746"/>
      </w:tabs>
    </w:pPr>
    <w:r>
      <w:rPr>
        <w:rFonts w:ascii="Meiryo" w:cs="Meiryo" w:eastAsia="Meiryo" w:hAnsi="Meiryo"/>
        <w:color w:val="5B6B78"/>
        <w:sz w:val="16"/>
        <w:szCs w:val="16"/>
      </w:rPr>
      <w:t xml:space="preserve">法令・制度基準日：2026年6月18日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B6B78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Meiryo" w:cs="Meiryo" w:eastAsia="Meiryo" w:hAnsi="Meiryo"/>
        <w:color w:val="5B6B78"/>
        <w:sz w:val="14"/>
        <w:szCs w:val="14"/>
      </w:rPr>
      <w:t xml:space="preserve">	本資料は自社ルールの補充を前提とした汎用ひな形です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D2DA" w:sz="4" w:space="4"/>
      </w:pBdr>
      <w:tabs>
        <w:tab w:val="right" w:pos="9746"/>
      </w:tabs>
      <w:spacing w:after="60"/>
    </w:pPr>
    <w:r>
      <w:rPr>
        <w:rFonts w:ascii="Meiryo" w:cs="Meiryo" w:eastAsia="Meiryo" w:hAnsi="Meiryo"/>
        <w:color w:val="5B6B78"/>
        <w:sz w:val="16"/>
        <w:szCs w:val="16"/>
      </w:rPr>
      <w:t xml:space="preserve">Legal GPT｜法務・総務のための社内研修資料20選（第20回・最終回）</w:t>
    </w:r>
    <w:r>
      <w:rPr>
        <w:rFonts w:ascii="Meiryo" w:cs="Meiryo" w:eastAsia="Meiryo" w:hAnsi="Meiryo"/>
        <w:color w:val="5B6B78"/>
        <w:sz w:val="16"/>
        <w:szCs w:val="16"/>
      </w:rPr>
      <w:t xml:space="preserve">	研修実施ガイド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9A7325"/>
      </w:rPr>
    </w:lvl>
    <w:lvl w:ilvl="1" w15:tentative="1">
      <w:start w:val="1"/>
      <w:numFmt w:val="bullet"/>
      <w:lvlText w:val="–"/>
      <w:lvlJc w:val="left"/>
      <w:pPr>
        <w:ind w:left="88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16314F"/>
      </w:r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460" w:hanging="300"/>
      </w:pPr>
      <w:rPr>
        <w:color w:val="16314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80" w:before="0"/>
    </w:pPr>
    <w:rPr>
      <w:rFonts w:ascii="Meiryo" w:cs="Meiryo" w:eastAsia="Meiryo" w:hAnsi="Meiryo"/>
      <w:b/>
      <w:bCs/>
      <w:color w:val="16314F"/>
      <w:sz w:val="40"/>
      <w:szCs w:val="40"/>
    </w:rPr>
  </w:style>
  <w:style w:type="paragraph" w:styleId="Subtitle">
    <w:name w:val="Subtitle"/>
    <w:basedOn w:val="Normal"/>
    <w:next w:val="Normal"/>
    <w:pPr>
      <w:spacing w:after="200" w:before="0"/>
    </w:pPr>
    <w:rPr>
      <w:rFonts w:ascii="Meiryo" w:cs="Meiryo" w:eastAsia="Meiryo" w:hAnsi="Meiryo"/>
      <w:b/>
      <w:bCs/>
      <w:color w:val="9A7325"/>
      <w:sz w:val="24"/>
      <w:szCs w:val="24"/>
    </w:rPr>
  </w:style>
  <w:style w:type="paragraph" w:styleId="Heading1">
    <w:name w:val="Heading 1"/>
    <w:basedOn w:val="Normal"/>
    <w:next w:val="Normal"/>
    <w:qFormat/>
    <w:pPr>
      <w:pBdr>
        <w:bottom w:val="single" w:color="9A7325" w:sz="14" w:space="6"/>
      </w:pBdr>
      <w:spacing w:after="140" w:before="300"/>
      <w:outlineLvl w:val="0"/>
    </w:pPr>
    <w:rPr>
      <w:rFonts w:ascii="Meiryo" w:cs="Meiryo" w:eastAsia="Meiryo" w:hAnsi="Meiryo"/>
      <w:b/>
      <w:bCs/>
      <w:color w:val="16314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90" w:before="220"/>
      <w:outlineLvl w:val="1"/>
    </w:pPr>
    <w:rPr>
      <w:rFonts w:ascii="Meiryo" w:cs="Meiryo" w:eastAsia="Meiryo" w:hAnsi="Meiryo"/>
      <w:b/>
      <w:bCs/>
      <w:color w:val="243B53"/>
      <w:sz w:val="23"/>
      <w:szCs w:val="23"/>
    </w:rPr>
  </w:style>
  <w:style w:type="paragraph" w:styleId="Heading3">
    <w:name w:val="Heading 3"/>
    <w:basedOn w:val="Normal"/>
    <w:next w:val="Normal"/>
    <w:qFormat/>
    <w:pPr>
      <w:spacing w:after="70" w:before="160"/>
      <w:outlineLvl w:val="2"/>
    </w:pPr>
    <w:rPr>
      <w:rFonts w:ascii="Meiryo" w:cs="Meiryo" w:eastAsia="Meiryo" w:hAnsi="Meiryo"/>
      <w:b/>
      <w:bCs/>
      <w:color w:val="1F6E69"/>
      <w:sz w:val="21"/>
      <w:szCs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2026-06-23T20:53:33.413Z</dcterms:created>
  <dcterms:modified xsi:type="dcterms:W3CDTF">2026-06-23T20:53:33.413Z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